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6DD4" w14:textId="179AA643" w:rsidR="00B14180" w:rsidRDefault="00B14180" w:rsidP="00B14180">
      <w:pPr>
        <w:jc w:val="right"/>
        <w:rPr>
          <w:b/>
        </w:rPr>
      </w:pPr>
      <w:r>
        <w:rPr>
          <w:b/>
        </w:rPr>
        <w:t xml:space="preserve">APPENDIX </w:t>
      </w:r>
      <w:r w:rsidR="00EF513F">
        <w:rPr>
          <w:b/>
        </w:rPr>
        <w:t>2</w:t>
      </w:r>
    </w:p>
    <w:p w14:paraId="28731BFC" w14:textId="77777777" w:rsidR="00B14180" w:rsidRDefault="00B14180" w:rsidP="008A22C6">
      <w:pPr>
        <w:rPr>
          <w:b/>
        </w:rPr>
      </w:pPr>
    </w:p>
    <w:p w14:paraId="63054E56" w14:textId="3F6C621F" w:rsidR="008A22C6" w:rsidRDefault="00A20BEF" w:rsidP="008A22C6">
      <w:pPr>
        <w:rPr>
          <w:b/>
        </w:rPr>
      </w:pPr>
      <w:r>
        <w:rPr>
          <w:b/>
        </w:rPr>
        <w:t xml:space="preserve">Oxford City Council </w:t>
      </w:r>
      <w:r w:rsidR="00ED3408">
        <w:rPr>
          <w:b/>
        </w:rPr>
        <w:t>HRA Rent Setting</w:t>
      </w:r>
      <w:r w:rsidR="007B2A30">
        <w:rPr>
          <w:b/>
        </w:rPr>
        <w:t xml:space="preserve"> </w:t>
      </w:r>
      <w:r w:rsidR="00EF513F">
        <w:rPr>
          <w:b/>
        </w:rPr>
        <w:t xml:space="preserve">for </w:t>
      </w:r>
      <w:r w:rsidR="007B2A30">
        <w:rPr>
          <w:b/>
        </w:rPr>
        <w:t>20</w:t>
      </w:r>
      <w:r w:rsidR="00396638">
        <w:rPr>
          <w:b/>
        </w:rPr>
        <w:t>2</w:t>
      </w:r>
      <w:r w:rsidR="00A64B2C">
        <w:rPr>
          <w:b/>
        </w:rPr>
        <w:t>5</w:t>
      </w:r>
      <w:r w:rsidR="007B2A30">
        <w:rPr>
          <w:b/>
        </w:rPr>
        <w:t>-</w:t>
      </w:r>
      <w:r w:rsidR="00B77696">
        <w:rPr>
          <w:b/>
        </w:rPr>
        <w:t>2</w:t>
      </w:r>
      <w:r w:rsidR="00A64B2C">
        <w:rPr>
          <w:b/>
        </w:rPr>
        <w:t>6</w:t>
      </w:r>
      <w:r w:rsidR="007B2A30">
        <w:rPr>
          <w:b/>
        </w:rPr>
        <w:t xml:space="preserve"> </w:t>
      </w:r>
      <w:r w:rsidR="00EF513F">
        <w:rPr>
          <w:b/>
        </w:rPr>
        <w:t xml:space="preserve">and </w:t>
      </w:r>
      <w:r w:rsidR="007B2A30">
        <w:rPr>
          <w:b/>
        </w:rPr>
        <w:t xml:space="preserve">for </w:t>
      </w:r>
      <w:r w:rsidR="0026721F">
        <w:rPr>
          <w:b/>
        </w:rPr>
        <w:t xml:space="preserve">inclusion in the Budget </w:t>
      </w:r>
      <w:r w:rsidR="007B2A30">
        <w:rPr>
          <w:b/>
        </w:rPr>
        <w:t>Consultation</w:t>
      </w:r>
      <w:r w:rsidR="004F2D8E" w:rsidRPr="004F2D8E">
        <w:rPr>
          <w:b/>
        </w:rPr>
        <w:t xml:space="preserve"> (Equality Assessment)</w:t>
      </w:r>
    </w:p>
    <w:p w14:paraId="5D9B377F" w14:textId="77777777" w:rsidR="004F2D8E" w:rsidRDefault="004F2D8E" w:rsidP="008A22C6"/>
    <w:p w14:paraId="51051039" w14:textId="5DC55D62" w:rsidR="004F2D8E" w:rsidRDefault="002C7AC7" w:rsidP="008A22C6">
      <w:pPr>
        <w:rPr>
          <w:color w:val="000000"/>
        </w:rPr>
      </w:pPr>
      <w:r>
        <w:rPr>
          <w:color w:val="000000"/>
        </w:rPr>
        <w:t xml:space="preserve">The following assessment gives more details from an equality and diversity perspective on the </w:t>
      </w:r>
      <w:r w:rsidR="00B20AEF">
        <w:rPr>
          <w:color w:val="000000"/>
        </w:rPr>
        <w:t xml:space="preserve">Council’s </w:t>
      </w:r>
      <w:r w:rsidR="00FC4464">
        <w:rPr>
          <w:color w:val="000000"/>
        </w:rPr>
        <w:t>rent setting proposal</w:t>
      </w:r>
      <w:r>
        <w:rPr>
          <w:color w:val="000000"/>
        </w:rPr>
        <w:t>.</w:t>
      </w:r>
      <w:r w:rsidR="00ED47D3">
        <w:rPr>
          <w:color w:val="000000"/>
        </w:rPr>
        <w:t xml:space="preserve"> It provides an initial commentary </w:t>
      </w:r>
      <w:r w:rsidR="00910C72">
        <w:rPr>
          <w:color w:val="000000"/>
        </w:rPr>
        <w:t>to indicate</w:t>
      </w:r>
      <w:r w:rsidR="00ED47D3">
        <w:rPr>
          <w:color w:val="000000"/>
        </w:rPr>
        <w:t xml:space="preserve"> the</w:t>
      </w:r>
      <w:r w:rsidR="00910C72">
        <w:rPr>
          <w:color w:val="000000"/>
        </w:rPr>
        <w:t xml:space="preserve"> potential</w:t>
      </w:r>
      <w:r w:rsidR="00ED47D3">
        <w:rPr>
          <w:color w:val="000000"/>
        </w:rPr>
        <w:t xml:space="preserve"> risks before the wider public consultation period </w:t>
      </w:r>
      <w:r w:rsidR="00AC46AF">
        <w:rPr>
          <w:color w:val="000000"/>
        </w:rPr>
        <w:t>from</w:t>
      </w:r>
      <w:r w:rsidR="00737BEA">
        <w:rPr>
          <w:color w:val="000000"/>
        </w:rPr>
        <w:t xml:space="preserve"> </w:t>
      </w:r>
      <w:r w:rsidR="00ED47D3">
        <w:rPr>
          <w:color w:val="000000"/>
        </w:rPr>
        <w:t>December 20</w:t>
      </w:r>
      <w:r w:rsidR="00A116C5">
        <w:rPr>
          <w:color w:val="000000"/>
        </w:rPr>
        <w:t>2</w:t>
      </w:r>
      <w:r w:rsidR="00A64B2C">
        <w:rPr>
          <w:color w:val="000000"/>
        </w:rPr>
        <w:t>4</w:t>
      </w:r>
      <w:r w:rsidR="00ED47D3">
        <w:rPr>
          <w:color w:val="000000"/>
        </w:rPr>
        <w:t xml:space="preserve"> to January 20</w:t>
      </w:r>
      <w:r w:rsidR="003024A3">
        <w:rPr>
          <w:color w:val="000000"/>
        </w:rPr>
        <w:t>2</w:t>
      </w:r>
      <w:r w:rsidR="00A64B2C">
        <w:rPr>
          <w:color w:val="000000"/>
        </w:rPr>
        <w:t>5</w:t>
      </w:r>
      <w:r w:rsidR="00ED47D3">
        <w:rPr>
          <w:color w:val="000000"/>
        </w:rPr>
        <w:t>.</w:t>
      </w:r>
    </w:p>
    <w:p w14:paraId="4A4C458E" w14:textId="77777777" w:rsidR="00A116C5" w:rsidRDefault="00A116C5" w:rsidP="008A22C6"/>
    <w:tbl>
      <w:tblPr>
        <w:tblStyle w:val="TableGrid"/>
        <w:tblW w:w="0" w:type="auto"/>
        <w:tblLook w:val="04A0" w:firstRow="1" w:lastRow="0" w:firstColumn="1" w:lastColumn="0" w:noHBand="0" w:noVBand="1"/>
      </w:tblPr>
      <w:tblGrid>
        <w:gridCol w:w="3176"/>
        <w:gridCol w:w="10772"/>
      </w:tblGrid>
      <w:tr w:rsidR="00702172" w14:paraId="77B9EBB2" w14:textId="77777777" w:rsidTr="001348D8">
        <w:tc>
          <w:tcPr>
            <w:tcW w:w="3176" w:type="dxa"/>
            <w:shd w:val="clear" w:color="auto" w:fill="D9D9D9" w:themeFill="background1" w:themeFillShade="D9"/>
          </w:tcPr>
          <w:p w14:paraId="0252A97F" w14:textId="77777777" w:rsidR="00702172" w:rsidRPr="00C858AE" w:rsidRDefault="00702172" w:rsidP="00D51DF0">
            <w:pPr>
              <w:rPr>
                <w:b/>
              </w:rPr>
            </w:pPr>
            <w:r w:rsidRPr="00C858AE">
              <w:rPr>
                <w:b/>
                <w:highlight w:val="lightGray"/>
              </w:rPr>
              <w:t>Budget Proposal</w:t>
            </w:r>
          </w:p>
        </w:tc>
        <w:tc>
          <w:tcPr>
            <w:tcW w:w="10772" w:type="dxa"/>
            <w:shd w:val="clear" w:color="auto" w:fill="D9D9D9" w:themeFill="background1" w:themeFillShade="D9"/>
          </w:tcPr>
          <w:p w14:paraId="383D0DBB" w14:textId="281C6B29" w:rsidR="00702172" w:rsidRDefault="007B0A20" w:rsidP="00125CFB">
            <w:pPr>
              <w:pStyle w:val="CommentText"/>
              <w:rPr>
                <w:b/>
                <w:sz w:val="24"/>
                <w:szCs w:val="24"/>
              </w:rPr>
            </w:pPr>
            <w:r>
              <w:rPr>
                <w:b/>
                <w:sz w:val="24"/>
                <w:szCs w:val="24"/>
                <w:highlight w:val="lightGray"/>
              </w:rPr>
              <w:t xml:space="preserve">Rent setting: </w:t>
            </w:r>
            <w:r w:rsidR="00D91532">
              <w:rPr>
                <w:b/>
                <w:sz w:val="24"/>
                <w:szCs w:val="24"/>
                <w:highlight w:val="lightGray"/>
              </w:rPr>
              <w:t>Increase</w:t>
            </w:r>
            <w:r w:rsidR="00702172" w:rsidRPr="00C858AE">
              <w:rPr>
                <w:b/>
                <w:sz w:val="24"/>
                <w:szCs w:val="24"/>
                <w:highlight w:val="lightGray"/>
              </w:rPr>
              <w:t xml:space="preserve"> in council house rents</w:t>
            </w:r>
            <w:r w:rsidR="009E1A9B">
              <w:rPr>
                <w:b/>
                <w:sz w:val="24"/>
                <w:szCs w:val="24"/>
                <w:highlight w:val="lightGray"/>
              </w:rPr>
              <w:t xml:space="preserve"> by </w:t>
            </w:r>
            <w:r w:rsidR="007423C7">
              <w:rPr>
                <w:b/>
                <w:sz w:val="24"/>
                <w:szCs w:val="24"/>
                <w:highlight w:val="lightGray"/>
              </w:rPr>
              <w:t>2</w:t>
            </w:r>
            <w:r w:rsidR="00883C90">
              <w:rPr>
                <w:b/>
                <w:sz w:val="24"/>
                <w:szCs w:val="24"/>
                <w:highlight w:val="lightGray"/>
              </w:rPr>
              <w:t>.7</w:t>
            </w:r>
            <w:r w:rsidR="00125CFB">
              <w:rPr>
                <w:b/>
                <w:sz w:val="24"/>
                <w:szCs w:val="24"/>
                <w:highlight w:val="lightGray"/>
              </w:rPr>
              <w:t>%</w:t>
            </w:r>
            <w:r w:rsidR="00EC1737" w:rsidRPr="00C858AE">
              <w:rPr>
                <w:b/>
                <w:sz w:val="24"/>
                <w:szCs w:val="24"/>
                <w:highlight w:val="lightGray"/>
              </w:rPr>
              <w:t xml:space="preserve"> </w:t>
            </w:r>
            <w:r w:rsidR="001E7178">
              <w:rPr>
                <w:b/>
                <w:sz w:val="24"/>
                <w:szCs w:val="24"/>
                <w:highlight w:val="lightGray"/>
              </w:rPr>
              <w:t xml:space="preserve">per annum for </w:t>
            </w:r>
            <w:r w:rsidR="00125CFB">
              <w:rPr>
                <w:b/>
                <w:sz w:val="24"/>
                <w:szCs w:val="24"/>
              </w:rPr>
              <w:t>2</w:t>
            </w:r>
            <w:r w:rsidR="007F2F71">
              <w:rPr>
                <w:b/>
                <w:sz w:val="24"/>
                <w:szCs w:val="24"/>
              </w:rPr>
              <w:t>02</w:t>
            </w:r>
            <w:r w:rsidR="007423C7">
              <w:rPr>
                <w:b/>
                <w:sz w:val="24"/>
                <w:szCs w:val="24"/>
              </w:rPr>
              <w:t>5</w:t>
            </w:r>
            <w:r w:rsidR="00125CFB">
              <w:rPr>
                <w:b/>
                <w:sz w:val="24"/>
                <w:szCs w:val="24"/>
              </w:rPr>
              <w:t>/2</w:t>
            </w:r>
            <w:r w:rsidR="007423C7">
              <w:rPr>
                <w:b/>
                <w:sz w:val="24"/>
                <w:szCs w:val="24"/>
              </w:rPr>
              <w:t>6</w:t>
            </w:r>
            <w:r w:rsidR="007F2F71">
              <w:rPr>
                <w:b/>
                <w:sz w:val="24"/>
                <w:szCs w:val="24"/>
              </w:rPr>
              <w:t xml:space="preserve">. </w:t>
            </w:r>
          </w:p>
          <w:p w14:paraId="1944994D" w14:textId="77777777" w:rsidR="00125CFB" w:rsidRPr="00C858AE" w:rsidRDefault="00125CFB" w:rsidP="00125CFB">
            <w:pPr>
              <w:pStyle w:val="CommentText"/>
              <w:rPr>
                <w:b/>
                <w:sz w:val="24"/>
                <w:szCs w:val="24"/>
              </w:rPr>
            </w:pPr>
          </w:p>
        </w:tc>
      </w:tr>
      <w:tr w:rsidR="00702172" w14:paraId="1A9750FB" w14:textId="77777777" w:rsidTr="001348D8">
        <w:tc>
          <w:tcPr>
            <w:tcW w:w="3176" w:type="dxa"/>
          </w:tcPr>
          <w:p w14:paraId="32940BDE" w14:textId="77777777" w:rsidR="00EC1737" w:rsidRDefault="00EC1737" w:rsidP="00EC1737">
            <w:r>
              <w:t>Is this proposal new or subject to an annual review?</w:t>
            </w:r>
          </w:p>
          <w:p w14:paraId="74981564" w14:textId="77777777" w:rsidR="00702172" w:rsidRDefault="00702172" w:rsidP="00D51DF0"/>
        </w:tc>
        <w:tc>
          <w:tcPr>
            <w:tcW w:w="10772" w:type="dxa"/>
          </w:tcPr>
          <w:p w14:paraId="0979A40E" w14:textId="208CE7A7" w:rsidR="00D507DD" w:rsidRPr="00125CFB" w:rsidRDefault="00D91532" w:rsidP="00C734D3">
            <w:pPr>
              <w:pStyle w:val="NormalWeb"/>
              <w:spacing w:before="100" w:beforeAutospacing="1" w:after="100" w:afterAutospacing="1"/>
              <w:jc w:val="both"/>
              <w:rPr>
                <w:rFonts w:ascii="Arial" w:hAnsi="Arial" w:cs="Arial"/>
              </w:rPr>
            </w:pPr>
            <w:r>
              <w:rPr>
                <w:rFonts w:ascii="Arial" w:eastAsia="Calibri" w:hAnsi="Arial" w:cs="Arial"/>
              </w:rPr>
              <w:t>F</w:t>
            </w:r>
            <w:r w:rsidR="00125CFB" w:rsidRPr="00125CFB">
              <w:rPr>
                <w:rFonts w:ascii="Arial" w:eastAsia="Calibri" w:hAnsi="Arial" w:cs="Arial"/>
              </w:rPr>
              <w:t>rom 1</w:t>
            </w:r>
            <w:r w:rsidR="00125CFB" w:rsidRPr="00125CFB">
              <w:rPr>
                <w:rFonts w:ascii="Arial" w:eastAsia="Calibri" w:hAnsi="Arial" w:cs="Arial"/>
                <w:vertAlign w:val="superscript"/>
              </w:rPr>
              <w:t>st</w:t>
            </w:r>
            <w:r w:rsidR="00125CFB" w:rsidRPr="00125CFB">
              <w:rPr>
                <w:rFonts w:ascii="Arial" w:eastAsia="Calibri" w:hAnsi="Arial" w:cs="Arial"/>
              </w:rPr>
              <w:t xml:space="preserve"> April 2020 under the 2020 rent standard, </w:t>
            </w:r>
            <w:r>
              <w:rPr>
                <w:rFonts w:ascii="Arial" w:eastAsia="Calibri" w:hAnsi="Arial" w:cs="Arial"/>
              </w:rPr>
              <w:t xml:space="preserve">the Government have determined that </w:t>
            </w:r>
            <w:r w:rsidR="00125CFB" w:rsidRPr="00125CFB">
              <w:rPr>
                <w:rFonts w:ascii="Arial" w:eastAsia="Calibri" w:hAnsi="Arial" w:cs="Arial"/>
              </w:rPr>
              <w:t xml:space="preserve">rent </w:t>
            </w:r>
            <w:r>
              <w:rPr>
                <w:rFonts w:ascii="Arial" w:eastAsia="Calibri" w:hAnsi="Arial" w:cs="Arial"/>
              </w:rPr>
              <w:t xml:space="preserve">will be </w:t>
            </w:r>
            <w:r w:rsidR="00125CFB" w:rsidRPr="00125CFB">
              <w:rPr>
                <w:rFonts w:ascii="Arial" w:eastAsia="Calibri" w:hAnsi="Arial" w:cs="Arial"/>
              </w:rPr>
              <w:t>increased by CPI +1% for a period of 5 years for local authority and housing association social rents. For 202</w:t>
            </w:r>
            <w:r w:rsidR="000D27CE">
              <w:rPr>
                <w:rFonts w:ascii="Arial" w:eastAsia="Calibri" w:hAnsi="Arial" w:cs="Arial"/>
              </w:rPr>
              <w:t>5</w:t>
            </w:r>
            <w:r w:rsidR="00125CFB" w:rsidRPr="00125CFB">
              <w:rPr>
                <w:rFonts w:ascii="Arial" w:eastAsia="Calibri" w:hAnsi="Arial" w:cs="Arial"/>
              </w:rPr>
              <w:t>/2</w:t>
            </w:r>
            <w:r w:rsidR="000D27CE">
              <w:rPr>
                <w:rFonts w:ascii="Arial" w:eastAsia="Calibri" w:hAnsi="Arial" w:cs="Arial"/>
              </w:rPr>
              <w:t>6</w:t>
            </w:r>
            <w:r w:rsidR="00125CFB" w:rsidRPr="00125CFB">
              <w:rPr>
                <w:rFonts w:ascii="Arial" w:eastAsia="Calibri" w:hAnsi="Arial" w:cs="Arial"/>
              </w:rPr>
              <w:t xml:space="preserve"> the </w:t>
            </w:r>
            <w:r>
              <w:rPr>
                <w:rFonts w:ascii="Arial" w:eastAsia="Calibri" w:hAnsi="Arial" w:cs="Arial"/>
              </w:rPr>
              <w:t xml:space="preserve">relevant </w:t>
            </w:r>
            <w:r w:rsidR="00125CFB" w:rsidRPr="00125CFB">
              <w:rPr>
                <w:rFonts w:ascii="Arial" w:eastAsia="Calibri" w:hAnsi="Arial" w:cs="Arial"/>
              </w:rPr>
              <w:t xml:space="preserve">CPI rate </w:t>
            </w:r>
            <w:proofErr w:type="gramStart"/>
            <w:r>
              <w:rPr>
                <w:rFonts w:ascii="Arial" w:eastAsia="Calibri" w:hAnsi="Arial" w:cs="Arial"/>
              </w:rPr>
              <w:t>at</w:t>
            </w:r>
            <w:proofErr w:type="gramEnd"/>
            <w:r>
              <w:rPr>
                <w:rFonts w:ascii="Arial" w:eastAsia="Calibri" w:hAnsi="Arial" w:cs="Arial"/>
              </w:rPr>
              <w:t xml:space="preserve"> September 202</w:t>
            </w:r>
            <w:r w:rsidR="000D27CE">
              <w:rPr>
                <w:rFonts w:ascii="Arial" w:eastAsia="Calibri" w:hAnsi="Arial" w:cs="Arial"/>
              </w:rPr>
              <w:t>4</w:t>
            </w:r>
            <w:r>
              <w:rPr>
                <w:rFonts w:ascii="Arial" w:eastAsia="Calibri" w:hAnsi="Arial" w:cs="Arial"/>
              </w:rPr>
              <w:t xml:space="preserve"> </w:t>
            </w:r>
            <w:r w:rsidR="00125CFB" w:rsidRPr="00125CFB">
              <w:rPr>
                <w:rFonts w:ascii="Arial" w:eastAsia="Calibri" w:hAnsi="Arial" w:cs="Arial"/>
              </w:rPr>
              <w:t xml:space="preserve">is </w:t>
            </w:r>
            <w:r w:rsidR="000D27CE">
              <w:rPr>
                <w:rFonts w:ascii="Arial" w:eastAsia="Calibri" w:hAnsi="Arial" w:cs="Arial"/>
              </w:rPr>
              <w:t>1</w:t>
            </w:r>
            <w:r>
              <w:rPr>
                <w:rFonts w:ascii="Arial" w:eastAsia="Calibri" w:hAnsi="Arial" w:cs="Arial"/>
              </w:rPr>
              <w:t>.</w:t>
            </w:r>
            <w:r w:rsidR="00EC6628">
              <w:rPr>
                <w:rFonts w:ascii="Arial" w:eastAsia="Calibri" w:hAnsi="Arial" w:cs="Arial"/>
              </w:rPr>
              <w:t>7</w:t>
            </w:r>
            <w:r w:rsidR="00125CFB" w:rsidRPr="00125CFB">
              <w:rPr>
                <w:rFonts w:ascii="Arial" w:eastAsia="Calibri" w:hAnsi="Arial" w:cs="Arial"/>
              </w:rPr>
              <w:t xml:space="preserve">% and hence council house rents </w:t>
            </w:r>
            <w:r w:rsidR="00166253">
              <w:rPr>
                <w:rFonts w:ascii="Arial" w:eastAsia="Calibri" w:hAnsi="Arial" w:cs="Arial"/>
              </w:rPr>
              <w:t xml:space="preserve">under this formula would be </w:t>
            </w:r>
            <w:r w:rsidR="00125CFB" w:rsidRPr="00125CFB">
              <w:rPr>
                <w:rFonts w:ascii="Arial" w:eastAsia="Calibri" w:hAnsi="Arial" w:cs="Arial"/>
              </w:rPr>
              <w:t xml:space="preserve">estimated to increase by </w:t>
            </w:r>
            <w:r w:rsidR="00B26785">
              <w:rPr>
                <w:rFonts w:ascii="Arial" w:eastAsia="Calibri" w:hAnsi="Arial" w:cs="Arial"/>
              </w:rPr>
              <w:t>2</w:t>
            </w:r>
            <w:r w:rsidR="00EC6628">
              <w:rPr>
                <w:rFonts w:ascii="Arial" w:eastAsia="Calibri" w:hAnsi="Arial" w:cs="Arial"/>
              </w:rPr>
              <w:t>.7</w:t>
            </w:r>
            <w:r w:rsidR="00125CFB" w:rsidRPr="00125CFB">
              <w:rPr>
                <w:rFonts w:ascii="Arial" w:eastAsia="Calibri" w:hAnsi="Arial" w:cs="Arial"/>
              </w:rPr>
              <w:t>% from 20</w:t>
            </w:r>
            <w:r w:rsidR="00787FE7">
              <w:rPr>
                <w:rFonts w:ascii="Arial" w:eastAsia="Calibri" w:hAnsi="Arial" w:cs="Arial"/>
              </w:rPr>
              <w:t>2</w:t>
            </w:r>
            <w:r w:rsidR="00B26785">
              <w:rPr>
                <w:rFonts w:ascii="Arial" w:eastAsia="Calibri" w:hAnsi="Arial" w:cs="Arial"/>
              </w:rPr>
              <w:t>4</w:t>
            </w:r>
            <w:r w:rsidR="00125CFB" w:rsidRPr="00125CFB">
              <w:rPr>
                <w:rFonts w:ascii="Arial" w:eastAsia="Calibri" w:hAnsi="Arial" w:cs="Arial"/>
              </w:rPr>
              <w:t>-2</w:t>
            </w:r>
            <w:r w:rsidR="00B26785">
              <w:rPr>
                <w:rFonts w:ascii="Arial" w:eastAsia="Calibri" w:hAnsi="Arial" w:cs="Arial"/>
              </w:rPr>
              <w:t>5</w:t>
            </w:r>
            <w:r w:rsidR="00125CFB" w:rsidRPr="00125CFB">
              <w:rPr>
                <w:rFonts w:ascii="Arial" w:eastAsia="Calibri" w:hAnsi="Arial" w:cs="Arial"/>
              </w:rPr>
              <w:t xml:space="preserve"> levels.</w:t>
            </w:r>
          </w:p>
        </w:tc>
      </w:tr>
      <w:tr w:rsidR="00702172" w:rsidRPr="00D84895" w14:paraId="35151783" w14:textId="77777777" w:rsidTr="001348D8">
        <w:tc>
          <w:tcPr>
            <w:tcW w:w="3176" w:type="dxa"/>
          </w:tcPr>
          <w:p w14:paraId="3A0A60E3" w14:textId="77777777" w:rsidR="00EC1737" w:rsidRPr="002C3741" w:rsidRDefault="00EC1737" w:rsidP="00EC1737">
            <w:r w:rsidRPr="002C3741">
              <w:t>What are the likely risks?</w:t>
            </w:r>
          </w:p>
          <w:p w14:paraId="3B33A4AE" w14:textId="77777777" w:rsidR="00702172" w:rsidRPr="002C3741" w:rsidRDefault="00702172" w:rsidP="00D51DF0"/>
        </w:tc>
        <w:tc>
          <w:tcPr>
            <w:tcW w:w="10772" w:type="dxa"/>
          </w:tcPr>
          <w:p w14:paraId="4741743D" w14:textId="70AAE949" w:rsidR="007F2F71" w:rsidRPr="00125CFB" w:rsidRDefault="00125CFB" w:rsidP="00CC7D43">
            <w:pPr>
              <w:jc w:val="both"/>
              <w:rPr>
                <w:color w:val="000000"/>
              </w:rPr>
            </w:pPr>
            <w:r>
              <w:rPr>
                <w:color w:val="000000"/>
              </w:rPr>
              <w:t>The increase for 202</w:t>
            </w:r>
            <w:r w:rsidR="001B5796">
              <w:rPr>
                <w:color w:val="000000"/>
              </w:rPr>
              <w:t>5</w:t>
            </w:r>
            <w:r>
              <w:rPr>
                <w:color w:val="000000"/>
              </w:rPr>
              <w:t>-2</w:t>
            </w:r>
            <w:r w:rsidR="001B5796">
              <w:rPr>
                <w:color w:val="000000"/>
              </w:rPr>
              <w:t>6</w:t>
            </w:r>
            <w:r>
              <w:rPr>
                <w:color w:val="000000"/>
              </w:rPr>
              <w:t xml:space="preserve"> </w:t>
            </w:r>
            <w:r w:rsidR="004D0971">
              <w:rPr>
                <w:color w:val="000000"/>
              </w:rPr>
              <w:t xml:space="preserve">at </w:t>
            </w:r>
            <w:r w:rsidR="001B5796">
              <w:rPr>
                <w:color w:val="000000"/>
              </w:rPr>
              <w:t>2</w:t>
            </w:r>
            <w:r w:rsidR="00B80FC1">
              <w:rPr>
                <w:color w:val="000000"/>
              </w:rPr>
              <w:t>.7</w:t>
            </w:r>
            <w:r w:rsidR="004D0971">
              <w:rPr>
                <w:color w:val="000000"/>
              </w:rPr>
              <w:t xml:space="preserve">% </w:t>
            </w:r>
            <w:r>
              <w:rPr>
                <w:color w:val="000000"/>
              </w:rPr>
              <w:t>represents an average of £</w:t>
            </w:r>
            <w:r w:rsidR="00DD5A9D">
              <w:rPr>
                <w:color w:val="000000"/>
              </w:rPr>
              <w:t>3.51</w:t>
            </w:r>
            <w:r>
              <w:rPr>
                <w:color w:val="000000"/>
              </w:rPr>
              <w:t xml:space="preserve"> per week. There is a risk of increased rents arrears which could rise </w:t>
            </w:r>
            <w:proofErr w:type="gramStart"/>
            <w:r>
              <w:rPr>
                <w:color w:val="000000"/>
              </w:rPr>
              <w:t>as a result of</w:t>
            </w:r>
            <w:proofErr w:type="gramEnd"/>
            <w:r>
              <w:rPr>
                <w:color w:val="000000"/>
              </w:rPr>
              <w:t xml:space="preserve"> the increase.</w:t>
            </w:r>
            <w:r w:rsidRPr="00CD7BC7">
              <w:rPr>
                <w:rFonts w:eastAsia="Calibri"/>
              </w:rPr>
              <w:t xml:space="preserve"> Issues may arise from the implementation of universal credit which is being monitored by the Council</w:t>
            </w:r>
          </w:p>
        </w:tc>
      </w:tr>
      <w:tr w:rsidR="00702172" w:rsidRPr="00D84895" w14:paraId="1A6B0937" w14:textId="77777777" w:rsidTr="001348D8">
        <w:tc>
          <w:tcPr>
            <w:tcW w:w="3176" w:type="dxa"/>
          </w:tcPr>
          <w:p w14:paraId="0533BDC8" w14:textId="77777777" w:rsidR="00702172" w:rsidRPr="00AF72E9" w:rsidRDefault="00EC1737" w:rsidP="00D51DF0">
            <w:r w:rsidRPr="00AF72E9">
              <w:t>What public consultation has been planned/ taken place?</w:t>
            </w:r>
          </w:p>
        </w:tc>
        <w:tc>
          <w:tcPr>
            <w:tcW w:w="10772" w:type="dxa"/>
          </w:tcPr>
          <w:p w14:paraId="2D04562F" w14:textId="4111A79E" w:rsidR="00702172" w:rsidRPr="00173979" w:rsidRDefault="00BA3E56" w:rsidP="00CC7D43">
            <w:pPr>
              <w:pStyle w:val="CommentText"/>
              <w:jc w:val="both"/>
              <w:rPr>
                <w:sz w:val="24"/>
                <w:szCs w:val="24"/>
              </w:rPr>
            </w:pPr>
            <w:r w:rsidRPr="00173979">
              <w:rPr>
                <w:sz w:val="24"/>
                <w:szCs w:val="24"/>
              </w:rPr>
              <w:t xml:space="preserve">The proposed </w:t>
            </w:r>
            <w:r w:rsidR="0047793C" w:rsidRPr="00173979">
              <w:rPr>
                <w:sz w:val="24"/>
                <w:szCs w:val="24"/>
              </w:rPr>
              <w:t>increases will be published in “Tenants in Tou</w:t>
            </w:r>
            <w:r w:rsidR="00D966DE" w:rsidRPr="00173979">
              <w:rPr>
                <w:sz w:val="24"/>
                <w:szCs w:val="24"/>
              </w:rPr>
              <w:t>ch”</w:t>
            </w:r>
            <w:r w:rsidR="00AF72E9" w:rsidRPr="00173979">
              <w:rPr>
                <w:sz w:val="24"/>
                <w:szCs w:val="24"/>
              </w:rPr>
              <w:t>, both</w:t>
            </w:r>
            <w:r w:rsidR="00D966DE" w:rsidRPr="00173979">
              <w:rPr>
                <w:sz w:val="24"/>
                <w:szCs w:val="24"/>
              </w:rPr>
              <w:t xml:space="preserve"> hard copy and digital editions</w:t>
            </w:r>
            <w:r w:rsidR="00326F32" w:rsidRPr="00173979">
              <w:rPr>
                <w:sz w:val="24"/>
                <w:szCs w:val="24"/>
              </w:rPr>
              <w:t xml:space="preserve"> during the consultation period</w:t>
            </w:r>
            <w:r w:rsidR="0059422C" w:rsidRPr="00173979">
              <w:rPr>
                <w:sz w:val="24"/>
                <w:szCs w:val="24"/>
              </w:rPr>
              <w:t>. Once the charges have been a</w:t>
            </w:r>
            <w:r w:rsidR="00E945D3" w:rsidRPr="00173979">
              <w:rPr>
                <w:sz w:val="24"/>
                <w:szCs w:val="24"/>
              </w:rPr>
              <w:t xml:space="preserve">pproved by Council, </w:t>
            </w:r>
            <w:r w:rsidR="0059422C" w:rsidRPr="00173979">
              <w:rPr>
                <w:sz w:val="24"/>
                <w:szCs w:val="24"/>
              </w:rPr>
              <w:t>Tenants will be notified in writing</w:t>
            </w:r>
            <w:r w:rsidR="00E945D3" w:rsidRPr="00173979">
              <w:rPr>
                <w:sz w:val="24"/>
                <w:szCs w:val="24"/>
              </w:rPr>
              <w:t xml:space="preserve"> </w:t>
            </w:r>
            <w:r w:rsidR="009B6CC9" w:rsidRPr="00173979">
              <w:rPr>
                <w:sz w:val="24"/>
                <w:szCs w:val="24"/>
              </w:rPr>
              <w:t xml:space="preserve">giving the statutory </w:t>
            </w:r>
            <w:r w:rsidR="00750B9D" w:rsidRPr="00173979">
              <w:rPr>
                <w:sz w:val="24"/>
                <w:szCs w:val="24"/>
              </w:rPr>
              <w:t xml:space="preserve">one </w:t>
            </w:r>
            <w:r w:rsidR="00326F32" w:rsidRPr="00173979">
              <w:rPr>
                <w:sz w:val="24"/>
                <w:szCs w:val="24"/>
              </w:rPr>
              <w:t>months’ notice</w:t>
            </w:r>
            <w:r w:rsidR="00E47CB8">
              <w:rPr>
                <w:sz w:val="24"/>
                <w:szCs w:val="24"/>
              </w:rPr>
              <w:t xml:space="preserve"> (Social Tenants) and two months’ notice (Shared Ownership tenants)</w:t>
            </w:r>
            <w:r w:rsidR="00750B9D" w:rsidRPr="00173979">
              <w:rPr>
                <w:sz w:val="24"/>
                <w:szCs w:val="24"/>
              </w:rPr>
              <w:t xml:space="preserve"> before implementation</w:t>
            </w:r>
            <w:r w:rsidR="00AF72E9" w:rsidRPr="00173979">
              <w:rPr>
                <w:sz w:val="24"/>
                <w:szCs w:val="24"/>
              </w:rPr>
              <w:t xml:space="preserve"> on the 1</w:t>
            </w:r>
            <w:r w:rsidR="00AF72E9" w:rsidRPr="00173979">
              <w:rPr>
                <w:sz w:val="24"/>
                <w:szCs w:val="24"/>
                <w:vertAlign w:val="superscript"/>
              </w:rPr>
              <w:t>st</w:t>
            </w:r>
            <w:r w:rsidR="00AF72E9" w:rsidRPr="00173979">
              <w:rPr>
                <w:sz w:val="24"/>
                <w:szCs w:val="24"/>
              </w:rPr>
              <w:t xml:space="preserve"> April.</w:t>
            </w:r>
          </w:p>
        </w:tc>
      </w:tr>
      <w:tr w:rsidR="00702172" w:rsidRPr="00D84895" w14:paraId="2D97662C" w14:textId="77777777" w:rsidTr="001348D8">
        <w:tc>
          <w:tcPr>
            <w:tcW w:w="3176" w:type="dxa"/>
          </w:tcPr>
          <w:p w14:paraId="174D490B" w14:textId="77777777" w:rsidR="00702172" w:rsidRPr="003E2495" w:rsidRDefault="00EC1737" w:rsidP="00D51DF0">
            <w:r w:rsidRPr="003E2495">
              <w:t>What mitigating actions will the Council implement to offset any negative impacts?</w:t>
            </w:r>
            <w:r w:rsidR="005757D8" w:rsidRPr="003E2495">
              <w:t xml:space="preserve">  </w:t>
            </w:r>
          </w:p>
          <w:p w14:paraId="0AF7D81B" w14:textId="77777777" w:rsidR="005757D8" w:rsidRPr="003E2495" w:rsidRDefault="005757D8" w:rsidP="00D51DF0"/>
        </w:tc>
        <w:tc>
          <w:tcPr>
            <w:tcW w:w="10772" w:type="dxa"/>
          </w:tcPr>
          <w:p w14:paraId="612A449F" w14:textId="44DB4ACB" w:rsidR="007152AA" w:rsidRPr="00B72E9A" w:rsidRDefault="000F74AC" w:rsidP="00FC4464">
            <w:pPr>
              <w:jc w:val="both"/>
              <w:rPr>
                <w:rFonts w:eastAsia="Calibri"/>
              </w:rPr>
            </w:pPr>
            <w:r w:rsidRPr="00173979">
              <w:rPr>
                <w:rFonts w:eastAsia="Calibri"/>
              </w:rPr>
              <w:t xml:space="preserve">The Social Housing Act </w:t>
            </w:r>
            <w:r w:rsidR="00CC12FE" w:rsidRPr="00173979">
              <w:rPr>
                <w:rFonts w:eastAsia="Calibri"/>
              </w:rPr>
              <w:t>and enhanced Regulatory Standards</w:t>
            </w:r>
            <w:r w:rsidR="00173979" w:rsidRPr="00173979">
              <w:rPr>
                <w:rFonts w:eastAsia="Calibri"/>
              </w:rPr>
              <w:t xml:space="preserve"> has </w:t>
            </w:r>
            <w:r w:rsidR="00B22ABD">
              <w:rPr>
                <w:rFonts w:eastAsia="Calibri"/>
              </w:rPr>
              <w:t xml:space="preserve">an expectation </w:t>
            </w:r>
            <w:r w:rsidR="00FF4715" w:rsidRPr="00FF4715">
              <w:rPr>
                <w:rFonts w:eastAsia="Calibri"/>
              </w:rPr>
              <w:t xml:space="preserve">that landlords will know their tenants as individuals, understand their views, know their protected characteristics, know reasonable adjustments that need to be made and work with an ever-increasing number of vulnerable tenants in our housing stock, delivering high quality, efficient services.  </w:t>
            </w:r>
            <w:r w:rsidR="005A39B1">
              <w:rPr>
                <w:rFonts w:eastAsia="Calibri"/>
              </w:rPr>
              <w:t xml:space="preserve">As a result, </w:t>
            </w:r>
            <w:r w:rsidR="00FF4715" w:rsidRPr="00FF4715">
              <w:rPr>
                <w:rFonts w:eastAsia="Calibri"/>
              </w:rPr>
              <w:t>Housing Officers will need to be able to case manage, key work and co-ordinate a range of services to support tenants going forward.</w:t>
            </w:r>
            <w:r w:rsidR="00B72E9A">
              <w:rPr>
                <w:rFonts w:eastAsia="Calibri"/>
              </w:rPr>
              <w:t xml:space="preserve"> </w:t>
            </w:r>
            <w:r w:rsidR="003E2495" w:rsidRPr="00173979">
              <w:rPr>
                <w:rFonts w:eastAsia="Calibri"/>
              </w:rPr>
              <w:t xml:space="preserve">Additional staffing </w:t>
            </w:r>
            <w:r w:rsidR="00213D6A">
              <w:rPr>
                <w:rFonts w:eastAsia="Calibri"/>
              </w:rPr>
              <w:t>has been proposed in response</w:t>
            </w:r>
            <w:r w:rsidR="006D1B61">
              <w:rPr>
                <w:rFonts w:eastAsia="Calibri"/>
              </w:rPr>
              <w:t xml:space="preserve"> to the new standards and should assist</w:t>
            </w:r>
            <w:r w:rsidR="003E2495" w:rsidRPr="00173979">
              <w:rPr>
                <w:rFonts w:eastAsia="Calibri"/>
              </w:rPr>
              <w:t xml:space="preserve"> in providing an early warning mechanism of arrears increasing and a resource to help tackle </w:t>
            </w:r>
            <w:r w:rsidR="00125CFB" w:rsidRPr="00173979">
              <w:rPr>
                <w:rFonts w:eastAsia="Calibri"/>
              </w:rPr>
              <w:t>the potential increased rent arrears</w:t>
            </w:r>
            <w:r w:rsidR="003E2495" w:rsidRPr="00173979">
              <w:rPr>
                <w:rFonts w:eastAsia="Calibri"/>
              </w:rPr>
              <w:t xml:space="preserve">. </w:t>
            </w:r>
            <w:r w:rsidR="00CC7D43" w:rsidRPr="00CC7D43">
              <w:t>As at the end of September 2024 there were a total of 5,149 HRA tenants (67%) claiming Housing Benefit or the Housing Cost element of Universal Credit, made up of 1,875 Housing Benefit claimants and 3,274 Universal Credit claimants. The amount claimed by each tenant will vary depending on their individual circumstances.</w:t>
            </w:r>
          </w:p>
        </w:tc>
      </w:tr>
      <w:tr w:rsidR="00702172" w:rsidRPr="00D84895" w14:paraId="4A1D9F05" w14:textId="77777777" w:rsidTr="001348D8">
        <w:tc>
          <w:tcPr>
            <w:tcW w:w="3176" w:type="dxa"/>
          </w:tcPr>
          <w:p w14:paraId="24377ABB" w14:textId="77777777" w:rsidR="00702172" w:rsidRPr="00D84895" w:rsidRDefault="00EC1737" w:rsidP="00D51DF0">
            <w:pPr>
              <w:rPr>
                <w:highlight w:val="yellow"/>
              </w:rPr>
            </w:pPr>
            <w:r w:rsidRPr="003E2495">
              <w:t>Overall assessment of the equality risks</w:t>
            </w:r>
          </w:p>
        </w:tc>
        <w:tc>
          <w:tcPr>
            <w:tcW w:w="10772" w:type="dxa"/>
          </w:tcPr>
          <w:p w14:paraId="7F6C1C1D" w14:textId="77777777" w:rsidR="00491094" w:rsidRPr="006B22F5" w:rsidRDefault="00491094" w:rsidP="00491094">
            <w:pPr>
              <w:rPr>
                <w:rFonts w:eastAsia="Times New Roman" w:cs="Times New Roman"/>
                <w:color w:val="000000"/>
              </w:rPr>
            </w:pPr>
          </w:p>
          <w:p w14:paraId="717F8FF9" w14:textId="77777777" w:rsidR="00932240" w:rsidRPr="006B22F5" w:rsidRDefault="00932240" w:rsidP="00BF1F50">
            <w:pPr>
              <w:pStyle w:val="CommentText"/>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23"/>
              <w:gridCol w:w="3515"/>
              <w:gridCol w:w="3518"/>
            </w:tblGrid>
            <w:tr w:rsidR="00932240" w:rsidRPr="006B22F5" w14:paraId="19C8A372" w14:textId="77777777" w:rsidTr="00747834">
              <w:tc>
                <w:tcPr>
                  <w:tcW w:w="3561" w:type="dxa"/>
                  <w:tcBorders>
                    <w:top w:val="single" w:sz="4" w:space="0" w:color="auto"/>
                  </w:tcBorders>
                </w:tcPr>
                <w:p w14:paraId="45C34502" w14:textId="77777777" w:rsidR="00932240" w:rsidRPr="006B22F5" w:rsidRDefault="00932240" w:rsidP="00747834">
                  <w:pPr>
                    <w:jc w:val="center"/>
                    <w:rPr>
                      <w:b/>
                      <w:szCs w:val="20"/>
                    </w:rPr>
                  </w:pPr>
                  <w:r w:rsidRPr="006B22F5">
                    <w:rPr>
                      <w:b/>
                      <w:iCs/>
                      <w:szCs w:val="20"/>
                    </w:rPr>
                    <w:lastRenderedPageBreak/>
                    <w:t>Race</w:t>
                  </w:r>
                </w:p>
              </w:tc>
              <w:tc>
                <w:tcPr>
                  <w:tcW w:w="3561" w:type="dxa"/>
                  <w:tcBorders>
                    <w:top w:val="single" w:sz="4" w:space="0" w:color="auto"/>
                  </w:tcBorders>
                </w:tcPr>
                <w:p w14:paraId="6F3B39D0" w14:textId="77777777" w:rsidR="00932240" w:rsidRPr="006B22F5" w:rsidRDefault="00932240" w:rsidP="00747834">
                  <w:pPr>
                    <w:jc w:val="center"/>
                    <w:rPr>
                      <w:b/>
                      <w:szCs w:val="20"/>
                    </w:rPr>
                  </w:pPr>
                  <w:r w:rsidRPr="006B22F5">
                    <w:rPr>
                      <w:b/>
                      <w:iCs/>
                      <w:szCs w:val="20"/>
                    </w:rPr>
                    <w:t>Disability</w:t>
                  </w:r>
                </w:p>
              </w:tc>
              <w:tc>
                <w:tcPr>
                  <w:tcW w:w="3562" w:type="dxa"/>
                  <w:tcBorders>
                    <w:top w:val="single" w:sz="4" w:space="0" w:color="auto"/>
                  </w:tcBorders>
                </w:tcPr>
                <w:p w14:paraId="4E25C378" w14:textId="77777777" w:rsidR="00932240" w:rsidRPr="006B22F5" w:rsidRDefault="00932240" w:rsidP="00747834">
                  <w:pPr>
                    <w:jc w:val="center"/>
                    <w:rPr>
                      <w:b/>
                      <w:szCs w:val="20"/>
                    </w:rPr>
                  </w:pPr>
                  <w:r w:rsidRPr="006B22F5">
                    <w:rPr>
                      <w:b/>
                      <w:iCs/>
                      <w:szCs w:val="20"/>
                    </w:rPr>
                    <w:t>Age</w:t>
                  </w:r>
                </w:p>
              </w:tc>
            </w:tr>
            <w:tr w:rsidR="00932240" w:rsidRPr="006B22F5" w14:paraId="7C84CA09" w14:textId="77777777" w:rsidTr="00747834">
              <w:trPr>
                <w:trHeight w:val="923"/>
              </w:trPr>
              <w:tc>
                <w:tcPr>
                  <w:tcW w:w="3561" w:type="dxa"/>
                  <w:tcBorders>
                    <w:bottom w:val="single" w:sz="4" w:space="0" w:color="auto"/>
                  </w:tcBorders>
                </w:tcPr>
                <w:p w14:paraId="4132FF84" w14:textId="77777777" w:rsidR="00932240" w:rsidRPr="006B22F5" w:rsidRDefault="00932240" w:rsidP="003E2495">
                  <w:pPr>
                    <w:jc w:val="center"/>
                    <w:rPr>
                      <w:iCs/>
                      <w:szCs w:val="20"/>
                    </w:rPr>
                  </w:pPr>
                  <w:r w:rsidRPr="006B22F5">
                    <w:rPr>
                      <w:iCs/>
                      <w:szCs w:val="20"/>
                    </w:rPr>
                    <w:t>Neutral</w:t>
                  </w:r>
                </w:p>
              </w:tc>
              <w:tc>
                <w:tcPr>
                  <w:tcW w:w="3561" w:type="dxa"/>
                  <w:tcBorders>
                    <w:bottom w:val="single" w:sz="4" w:space="0" w:color="auto"/>
                  </w:tcBorders>
                </w:tcPr>
                <w:p w14:paraId="5C814025" w14:textId="77777777" w:rsidR="00932240" w:rsidRPr="006B22F5" w:rsidRDefault="003E2495" w:rsidP="003E2495">
                  <w:pPr>
                    <w:jc w:val="center"/>
                    <w:rPr>
                      <w:iCs/>
                      <w:szCs w:val="20"/>
                    </w:rPr>
                  </w:pPr>
                  <w:r w:rsidRPr="006B22F5">
                    <w:rPr>
                      <w:iCs/>
                      <w:szCs w:val="20"/>
                    </w:rPr>
                    <w:t>Neutral</w:t>
                  </w:r>
                </w:p>
              </w:tc>
              <w:tc>
                <w:tcPr>
                  <w:tcW w:w="3562" w:type="dxa"/>
                  <w:tcBorders>
                    <w:bottom w:val="single" w:sz="4" w:space="0" w:color="auto"/>
                  </w:tcBorders>
                </w:tcPr>
                <w:p w14:paraId="6586B96F" w14:textId="77777777" w:rsidR="00932240" w:rsidRPr="006B22F5" w:rsidRDefault="003E2495" w:rsidP="00747834">
                  <w:pPr>
                    <w:jc w:val="center"/>
                    <w:rPr>
                      <w:b/>
                      <w:iCs/>
                      <w:szCs w:val="20"/>
                    </w:rPr>
                  </w:pPr>
                  <w:r w:rsidRPr="006B22F5">
                    <w:rPr>
                      <w:iCs/>
                      <w:szCs w:val="20"/>
                    </w:rPr>
                    <w:t>Neutral</w:t>
                  </w:r>
                </w:p>
              </w:tc>
            </w:tr>
            <w:tr w:rsidR="00932240" w:rsidRPr="006B22F5" w14:paraId="4B54FA46" w14:textId="77777777" w:rsidTr="00747834">
              <w:tc>
                <w:tcPr>
                  <w:tcW w:w="3561" w:type="dxa"/>
                  <w:tcBorders>
                    <w:top w:val="single" w:sz="4" w:space="0" w:color="auto"/>
                  </w:tcBorders>
                </w:tcPr>
                <w:p w14:paraId="0D47BEFF" w14:textId="77777777" w:rsidR="00932240" w:rsidRPr="006B22F5" w:rsidRDefault="00932240" w:rsidP="00747834">
                  <w:pPr>
                    <w:jc w:val="center"/>
                    <w:rPr>
                      <w:b/>
                      <w:iCs/>
                      <w:szCs w:val="20"/>
                    </w:rPr>
                  </w:pPr>
                  <w:r w:rsidRPr="006B22F5">
                    <w:rPr>
                      <w:b/>
                      <w:iCs/>
                      <w:szCs w:val="20"/>
                    </w:rPr>
                    <w:t>Gender reassignment</w:t>
                  </w:r>
                </w:p>
              </w:tc>
              <w:tc>
                <w:tcPr>
                  <w:tcW w:w="3561" w:type="dxa"/>
                  <w:tcBorders>
                    <w:top w:val="single" w:sz="4" w:space="0" w:color="auto"/>
                  </w:tcBorders>
                </w:tcPr>
                <w:p w14:paraId="1476FCB4" w14:textId="77777777" w:rsidR="00932240" w:rsidRPr="006B22F5" w:rsidRDefault="00932240" w:rsidP="00747834">
                  <w:pPr>
                    <w:jc w:val="center"/>
                    <w:rPr>
                      <w:b/>
                      <w:iCs/>
                      <w:szCs w:val="20"/>
                    </w:rPr>
                  </w:pPr>
                  <w:r w:rsidRPr="006B22F5">
                    <w:rPr>
                      <w:b/>
                      <w:iCs/>
                      <w:szCs w:val="20"/>
                    </w:rPr>
                    <w:t xml:space="preserve">Religion </w:t>
                  </w:r>
                  <w:proofErr w:type="gramStart"/>
                  <w:r w:rsidRPr="006B22F5">
                    <w:rPr>
                      <w:b/>
                      <w:iCs/>
                      <w:szCs w:val="20"/>
                    </w:rPr>
                    <w:t>or  Belief</w:t>
                  </w:r>
                  <w:proofErr w:type="gramEnd"/>
                </w:p>
              </w:tc>
              <w:tc>
                <w:tcPr>
                  <w:tcW w:w="3562" w:type="dxa"/>
                  <w:tcBorders>
                    <w:top w:val="single" w:sz="4" w:space="0" w:color="auto"/>
                  </w:tcBorders>
                </w:tcPr>
                <w:p w14:paraId="33C9447B" w14:textId="77777777" w:rsidR="00932240" w:rsidRPr="006B22F5" w:rsidRDefault="00932240" w:rsidP="00747834">
                  <w:pPr>
                    <w:jc w:val="center"/>
                    <w:rPr>
                      <w:b/>
                      <w:iCs/>
                      <w:szCs w:val="20"/>
                    </w:rPr>
                  </w:pPr>
                  <w:r w:rsidRPr="006B22F5">
                    <w:rPr>
                      <w:b/>
                      <w:iCs/>
                      <w:szCs w:val="20"/>
                    </w:rPr>
                    <w:t>Sexual Orientation</w:t>
                  </w:r>
                </w:p>
              </w:tc>
            </w:tr>
            <w:tr w:rsidR="00932240" w:rsidRPr="006B22F5" w14:paraId="6F372506" w14:textId="77777777" w:rsidTr="00747834">
              <w:tc>
                <w:tcPr>
                  <w:tcW w:w="3561" w:type="dxa"/>
                  <w:tcBorders>
                    <w:bottom w:val="single" w:sz="4" w:space="0" w:color="auto"/>
                  </w:tcBorders>
                </w:tcPr>
                <w:p w14:paraId="1612363C" w14:textId="77777777" w:rsidR="00932240" w:rsidRPr="006B22F5" w:rsidRDefault="00932240" w:rsidP="00747834">
                  <w:pPr>
                    <w:jc w:val="center"/>
                    <w:rPr>
                      <w:iCs/>
                      <w:szCs w:val="20"/>
                    </w:rPr>
                  </w:pPr>
                  <w:r w:rsidRPr="006B22F5">
                    <w:rPr>
                      <w:iCs/>
                      <w:szCs w:val="20"/>
                    </w:rPr>
                    <w:t>Neutral</w:t>
                  </w:r>
                </w:p>
              </w:tc>
              <w:tc>
                <w:tcPr>
                  <w:tcW w:w="3561" w:type="dxa"/>
                  <w:tcBorders>
                    <w:bottom w:val="single" w:sz="4" w:space="0" w:color="auto"/>
                  </w:tcBorders>
                </w:tcPr>
                <w:p w14:paraId="53B7575D" w14:textId="77777777" w:rsidR="00932240" w:rsidRPr="006B22F5" w:rsidRDefault="00932240" w:rsidP="00747834">
                  <w:pPr>
                    <w:jc w:val="center"/>
                    <w:rPr>
                      <w:iCs/>
                      <w:szCs w:val="20"/>
                    </w:rPr>
                  </w:pPr>
                  <w:r w:rsidRPr="006B22F5">
                    <w:rPr>
                      <w:iCs/>
                      <w:szCs w:val="20"/>
                    </w:rPr>
                    <w:t>Neutral</w:t>
                  </w:r>
                </w:p>
              </w:tc>
              <w:tc>
                <w:tcPr>
                  <w:tcW w:w="3562" w:type="dxa"/>
                  <w:tcBorders>
                    <w:bottom w:val="single" w:sz="4" w:space="0" w:color="auto"/>
                  </w:tcBorders>
                </w:tcPr>
                <w:p w14:paraId="3B9F7423" w14:textId="77777777" w:rsidR="00932240" w:rsidRPr="006B22F5" w:rsidRDefault="00932240" w:rsidP="00747834">
                  <w:pPr>
                    <w:jc w:val="center"/>
                    <w:rPr>
                      <w:iCs/>
                      <w:szCs w:val="20"/>
                    </w:rPr>
                  </w:pPr>
                  <w:r w:rsidRPr="006B22F5">
                    <w:rPr>
                      <w:iCs/>
                      <w:szCs w:val="20"/>
                    </w:rPr>
                    <w:t>Neutral</w:t>
                  </w:r>
                </w:p>
              </w:tc>
            </w:tr>
            <w:tr w:rsidR="00932240" w:rsidRPr="006B22F5" w14:paraId="2D41B6C4" w14:textId="77777777" w:rsidTr="00747834">
              <w:tc>
                <w:tcPr>
                  <w:tcW w:w="3561" w:type="dxa"/>
                  <w:tcBorders>
                    <w:top w:val="single" w:sz="4" w:space="0" w:color="auto"/>
                  </w:tcBorders>
                </w:tcPr>
                <w:p w14:paraId="31944DDE" w14:textId="77777777" w:rsidR="00932240" w:rsidRPr="006B22F5" w:rsidRDefault="00932240" w:rsidP="00747834">
                  <w:pPr>
                    <w:jc w:val="center"/>
                    <w:rPr>
                      <w:b/>
                      <w:szCs w:val="20"/>
                    </w:rPr>
                  </w:pPr>
                  <w:r w:rsidRPr="006B22F5">
                    <w:rPr>
                      <w:b/>
                      <w:iCs/>
                      <w:szCs w:val="20"/>
                    </w:rPr>
                    <w:t>Sex</w:t>
                  </w:r>
                </w:p>
              </w:tc>
              <w:tc>
                <w:tcPr>
                  <w:tcW w:w="3561" w:type="dxa"/>
                  <w:tcBorders>
                    <w:top w:val="single" w:sz="4" w:space="0" w:color="auto"/>
                  </w:tcBorders>
                </w:tcPr>
                <w:p w14:paraId="217C0CB3" w14:textId="77777777" w:rsidR="00932240" w:rsidRPr="006B22F5" w:rsidRDefault="00932240" w:rsidP="00747834">
                  <w:pPr>
                    <w:jc w:val="center"/>
                    <w:rPr>
                      <w:b/>
                      <w:szCs w:val="20"/>
                    </w:rPr>
                  </w:pPr>
                  <w:r w:rsidRPr="006B22F5">
                    <w:rPr>
                      <w:b/>
                      <w:iCs/>
                      <w:szCs w:val="20"/>
                    </w:rPr>
                    <w:t>Pregnancy and Maternity</w:t>
                  </w:r>
                </w:p>
              </w:tc>
              <w:tc>
                <w:tcPr>
                  <w:tcW w:w="3562" w:type="dxa"/>
                  <w:tcBorders>
                    <w:top w:val="single" w:sz="4" w:space="0" w:color="auto"/>
                  </w:tcBorders>
                </w:tcPr>
                <w:p w14:paraId="2EFFFAB5" w14:textId="77777777" w:rsidR="00932240" w:rsidRPr="006B22F5" w:rsidRDefault="00932240" w:rsidP="00747834">
                  <w:pPr>
                    <w:jc w:val="center"/>
                    <w:rPr>
                      <w:b/>
                      <w:szCs w:val="20"/>
                    </w:rPr>
                  </w:pPr>
                  <w:r w:rsidRPr="006B22F5">
                    <w:rPr>
                      <w:b/>
                      <w:iCs/>
                      <w:szCs w:val="20"/>
                    </w:rPr>
                    <w:t>Marriage &amp; Civil Partnership</w:t>
                  </w:r>
                </w:p>
              </w:tc>
            </w:tr>
            <w:tr w:rsidR="00932240" w:rsidRPr="006B22F5" w14:paraId="584BCD36" w14:textId="77777777" w:rsidTr="00747834">
              <w:tc>
                <w:tcPr>
                  <w:tcW w:w="3561" w:type="dxa"/>
                  <w:tcBorders>
                    <w:bottom w:val="single" w:sz="4" w:space="0" w:color="auto"/>
                  </w:tcBorders>
                </w:tcPr>
                <w:p w14:paraId="4D0D3BD8" w14:textId="77777777" w:rsidR="00932240" w:rsidRPr="006B22F5" w:rsidRDefault="00932240" w:rsidP="00747834">
                  <w:pPr>
                    <w:jc w:val="center"/>
                    <w:rPr>
                      <w:szCs w:val="20"/>
                    </w:rPr>
                  </w:pPr>
                  <w:r w:rsidRPr="006B22F5">
                    <w:rPr>
                      <w:iCs/>
                      <w:szCs w:val="20"/>
                    </w:rPr>
                    <w:t>Neutral</w:t>
                  </w:r>
                </w:p>
              </w:tc>
              <w:tc>
                <w:tcPr>
                  <w:tcW w:w="3561" w:type="dxa"/>
                  <w:tcBorders>
                    <w:bottom w:val="single" w:sz="4" w:space="0" w:color="auto"/>
                  </w:tcBorders>
                </w:tcPr>
                <w:p w14:paraId="0FBDA19E" w14:textId="77777777" w:rsidR="00932240" w:rsidRPr="006B22F5" w:rsidRDefault="00932240" w:rsidP="00747834">
                  <w:pPr>
                    <w:jc w:val="center"/>
                    <w:rPr>
                      <w:szCs w:val="20"/>
                    </w:rPr>
                  </w:pPr>
                  <w:r w:rsidRPr="006B22F5">
                    <w:rPr>
                      <w:iCs/>
                      <w:szCs w:val="20"/>
                    </w:rPr>
                    <w:t>Neutral</w:t>
                  </w:r>
                </w:p>
              </w:tc>
              <w:tc>
                <w:tcPr>
                  <w:tcW w:w="3562" w:type="dxa"/>
                  <w:tcBorders>
                    <w:bottom w:val="single" w:sz="4" w:space="0" w:color="auto"/>
                  </w:tcBorders>
                </w:tcPr>
                <w:p w14:paraId="78EDDD32" w14:textId="77777777" w:rsidR="00932240" w:rsidRPr="006B22F5" w:rsidRDefault="00932240" w:rsidP="00747834">
                  <w:pPr>
                    <w:jc w:val="center"/>
                    <w:rPr>
                      <w:szCs w:val="20"/>
                    </w:rPr>
                  </w:pPr>
                  <w:r w:rsidRPr="006B22F5">
                    <w:rPr>
                      <w:iCs/>
                      <w:szCs w:val="20"/>
                    </w:rPr>
                    <w:t>Neutral</w:t>
                  </w:r>
                </w:p>
              </w:tc>
            </w:tr>
          </w:tbl>
          <w:p w14:paraId="6F0C68CE" w14:textId="77777777" w:rsidR="00932240" w:rsidRPr="006B22F5" w:rsidRDefault="00932240" w:rsidP="00BF1F50">
            <w:pPr>
              <w:pStyle w:val="CommentText"/>
              <w:rPr>
                <w:sz w:val="24"/>
                <w:szCs w:val="24"/>
              </w:rPr>
            </w:pPr>
          </w:p>
        </w:tc>
      </w:tr>
    </w:tbl>
    <w:p w14:paraId="747AD731" w14:textId="77777777" w:rsidR="00821EC5" w:rsidRPr="008A22C6" w:rsidRDefault="00821EC5" w:rsidP="008A22C6"/>
    <w:sectPr w:rsidR="00821EC5" w:rsidRPr="008A22C6" w:rsidSect="00FE09D0">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B2F"/>
    <w:multiLevelType w:val="hybridMultilevel"/>
    <w:tmpl w:val="952C2D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EE301A"/>
    <w:multiLevelType w:val="hybridMultilevel"/>
    <w:tmpl w:val="2BFEF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57D70"/>
    <w:multiLevelType w:val="hybridMultilevel"/>
    <w:tmpl w:val="EEC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1EC"/>
    <w:multiLevelType w:val="hybridMultilevel"/>
    <w:tmpl w:val="FED03DB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E766E27"/>
    <w:multiLevelType w:val="hybridMultilevel"/>
    <w:tmpl w:val="A6BA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55F"/>
    <w:multiLevelType w:val="hybridMultilevel"/>
    <w:tmpl w:val="C7BE7C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C4705A3"/>
    <w:multiLevelType w:val="hybridMultilevel"/>
    <w:tmpl w:val="FBF2FB96"/>
    <w:lvl w:ilvl="0" w:tplc="08090001">
      <w:start w:val="1"/>
      <w:numFmt w:val="bullet"/>
      <w:lvlText w:val=""/>
      <w:lvlJc w:val="left"/>
      <w:pPr>
        <w:tabs>
          <w:tab w:val="num" w:pos="1080"/>
        </w:tabs>
        <w:ind w:left="1080" w:hanging="360"/>
      </w:pPr>
      <w:rPr>
        <w:rFonts w:ascii="Symbol" w:hAnsi="Symbol" w:hint="default"/>
        <w:color w:val="000080"/>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D63AB3"/>
    <w:multiLevelType w:val="hybridMultilevel"/>
    <w:tmpl w:val="53960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EA5056"/>
    <w:multiLevelType w:val="hybridMultilevel"/>
    <w:tmpl w:val="8B04B1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51090"/>
    <w:multiLevelType w:val="hybridMultilevel"/>
    <w:tmpl w:val="36BA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A7BC6"/>
    <w:multiLevelType w:val="hybridMultilevel"/>
    <w:tmpl w:val="403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17169"/>
    <w:multiLevelType w:val="hybridMultilevel"/>
    <w:tmpl w:val="93EA0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83BAC"/>
    <w:multiLevelType w:val="hybridMultilevel"/>
    <w:tmpl w:val="5EF66188"/>
    <w:lvl w:ilvl="0" w:tplc="50B0CE3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A1AD69A">
      <w:start w:val="51"/>
      <w:numFmt w:val="decimal"/>
      <w:lvlText w:val="%4."/>
      <w:lvlJc w:val="left"/>
      <w:pPr>
        <w:ind w:left="3960" w:hanging="360"/>
      </w:pPr>
      <w:rPr>
        <w:rFonts w:hint="default"/>
      </w:rPr>
    </w:lvl>
    <w:lvl w:ilvl="4" w:tplc="221E3284">
      <w:start w:val="51"/>
      <w:numFmt w:val="decimal"/>
      <w:lvlText w:val="%5"/>
      <w:lvlJc w:val="left"/>
      <w:pPr>
        <w:ind w:left="4680" w:hanging="360"/>
      </w:pPr>
      <w:rPr>
        <w:rFonts w:hint="default"/>
      </w:r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9E4668A"/>
    <w:multiLevelType w:val="hybridMultilevel"/>
    <w:tmpl w:val="055AB45E"/>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4" w15:restartNumberingAfterBreak="0">
    <w:nsid w:val="5B453C5A"/>
    <w:multiLevelType w:val="hybridMultilevel"/>
    <w:tmpl w:val="280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C3C45"/>
    <w:multiLevelType w:val="hybridMultilevel"/>
    <w:tmpl w:val="D89A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26B22"/>
    <w:multiLevelType w:val="hybridMultilevel"/>
    <w:tmpl w:val="92C2895A"/>
    <w:lvl w:ilvl="0" w:tplc="08090001">
      <w:start w:val="1"/>
      <w:numFmt w:val="bullet"/>
      <w:lvlText w:val=""/>
      <w:lvlJc w:val="left"/>
      <w:pPr>
        <w:tabs>
          <w:tab w:val="num" w:pos="1495"/>
        </w:tabs>
        <w:ind w:left="1495" w:hanging="360"/>
      </w:pPr>
      <w:rPr>
        <w:rFonts w:ascii="Symbol" w:hAnsi="Symbol"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abstractNum w:abstractNumId="17" w15:restartNumberingAfterBreak="0">
    <w:nsid w:val="6B46225E"/>
    <w:multiLevelType w:val="hybridMultilevel"/>
    <w:tmpl w:val="526E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81EEF"/>
    <w:multiLevelType w:val="hybridMultilevel"/>
    <w:tmpl w:val="157A2660"/>
    <w:lvl w:ilvl="0" w:tplc="9B2C63FA">
      <w:start w:val="1"/>
      <w:numFmt w:val="bullet"/>
      <w:lvlText w:val=""/>
      <w:lvlJc w:val="left"/>
      <w:pPr>
        <w:tabs>
          <w:tab w:val="num" w:pos="1800"/>
        </w:tabs>
        <w:ind w:left="1800" w:hanging="360"/>
      </w:pPr>
      <w:rPr>
        <w:rFonts w:ascii="Wingdings" w:hAnsi="Wingdings" w:hint="default"/>
        <w:color w:val="000080"/>
      </w:rPr>
    </w:lvl>
    <w:lvl w:ilvl="1" w:tplc="08090001">
      <w:start w:val="1"/>
      <w:numFmt w:val="bullet"/>
      <w:lvlText w:val=""/>
      <w:lvlJc w:val="left"/>
      <w:pPr>
        <w:tabs>
          <w:tab w:val="num" w:pos="2160"/>
        </w:tabs>
        <w:ind w:left="2160" w:hanging="360"/>
      </w:pPr>
      <w:rPr>
        <w:rFonts w:ascii="Symbol" w:hAnsi="Symbol" w:hint="default"/>
        <w:color w:val="00008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807BD7"/>
    <w:multiLevelType w:val="hybridMultilevel"/>
    <w:tmpl w:val="5CB2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2922D86"/>
    <w:multiLevelType w:val="hybridMultilevel"/>
    <w:tmpl w:val="93EA0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057D7D"/>
    <w:multiLevelType w:val="hybridMultilevel"/>
    <w:tmpl w:val="E108A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03438"/>
    <w:multiLevelType w:val="hybridMultilevel"/>
    <w:tmpl w:val="B2B6956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D6D0018"/>
    <w:multiLevelType w:val="hybridMultilevel"/>
    <w:tmpl w:val="958EE85E"/>
    <w:lvl w:ilvl="0" w:tplc="9388353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C4AB6"/>
    <w:multiLevelType w:val="hybridMultilevel"/>
    <w:tmpl w:val="50A6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019523">
    <w:abstractNumId w:val="9"/>
  </w:num>
  <w:num w:numId="2" w16cid:durableId="174418751">
    <w:abstractNumId w:val="15"/>
  </w:num>
  <w:num w:numId="3" w16cid:durableId="1351764024">
    <w:abstractNumId w:val="13"/>
  </w:num>
  <w:num w:numId="4" w16cid:durableId="989674173">
    <w:abstractNumId w:val="12"/>
  </w:num>
  <w:num w:numId="5" w16cid:durableId="335427320">
    <w:abstractNumId w:val="22"/>
  </w:num>
  <w:num w:numId="6" w16cid:durableId="1530491561">
    <w:abstractNumId w:val="6"/>
  </w:num>
  <w:num w:numId="7" w16cid:durableId="1989741715">
    <w:abstractNumId w:val="8"/>
  </w:num>
  <w:num w:numId="8" w16cid:durableId="1819148870">
    <w:abstractNumId w:val="18"/>
  </w:num>
  <w:num w:numId="9" w16cid:durableId="492726610">
    <w:abstractNumId w:val="21"/>
  </w:num>
  <w:num w:numId="10" w16cid:durableId="1434127803">
    <w:abstractNumId w:val="14"/>
  </w:num>
  <w:num w:numId="11" w16cid:durableId="355892429">
    <w:abstractNumId w:val="5"/>
  </w:num>
  <w:num w:numId="12" w16cid:durableId="1966738523">
    <w:abstractNumId w:val="4"/>
  </w:num>
  <w:num w:numId="13" w16cid:durableId="1913196054">
    <w:abstractNumId w:val="19"/>
  </w:num>
  <w:num w:numId="14" w16cid:durableId="2116946060">
    <w:abstractNumId w:val="0"/>
  </w:num>
  <w:num w:numId="15" w16cid:durableId="518929150">
    <w:abstractNumId w:val="24"/>
  </w:num>
  <w:num w:numId="16" w16cid:durableId="1703431171">
    <w:abstractNumId w:val="16"/>
  </w:num>
  <w:num w:numId="17" w16cid:durableId="37781331">
    <w:abstractNumId w:val="3"/>
  </w:num>
  <w:num w:numId="18" w16cid:durableId="998190171">
    <w:abstractNumId w:val="2"/>
  </w:num>
  <w:num w:numId="19" w16cid:durableId="986325312">
    <w:abstractNumId w:val="1"/>
  </w:num>
  <w:num w:numId="20" w16cid:durableId="2007856390">
    <w:abstractNumId w:val="17"/>
  </w:num>
  <w:num w:numId="21" w16cid:durableId="2005468504">
    <w:abstractNumId w:val="7"/>
  </w:num>
  <w:num w:numId="22" w16cid:durableId="2018921372">
    <w:abstractNumId w:val="10"/>
  </w:num>
  <w:num w:numId="23" w16cid:durableId="1633367069">
    <w:abstractNumId w:val="20"/>
  </w:num>
  <w:num w:numId="24" w16cid:durableId="1179544922">
    <w:abstractNumId w:val="11"/>
  </w:num>
  <w:num w:numId="25" w16cid:durableId="52659875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8E"/>
    <w:rsid w:val="00002983"/>
    <w:rsid w:val="000063CC"/>
    <w:rsid w:val="00010D5B"/>
    <w:rsid w:val="0001625E"/>
    <w:rsid w:val="00016533"/>
    <w:rsid w:val="00017509"/>
    <w:rsid w:val="00033345"/>
    <w:rsid w:val="00040F58"/>
    <w:rsid w:val="00042709"/>
    <w:rsid w:val="00047ADF"/>
    <w:rsid w:val="000552A2"/>
    <w:rsid w:val="00063532"/>
    <w:rsid w:val="00090C12"/>
    <w:rsid w:val="00097B98"/>
    <w:rsid w:val="000A4B15"/>
    <w:rsid w:val="000B4310"/>
    <w:rsid w:val="000C1F61"/>
    <w:rsid w:val="000D0740"/>
    <w:rsid w:val="000D27CE"/>
    <w:rsid w:val="000D4E01"/>
    <w:rsid w:val="000E2883"/>
    <w:rsid w:val="000E5C8E"/>
    <w:rsid w:val="000E5CC8"/>
    <w:rsid w:val="000F6F7C"/>
    <w:rsid w:val="000F74AC"/>
    <w:rsid w:val="00110940"/>
    <w:rsid w:val="0012407C"/>
    <w:rsid w:val="001245FD"/>
    <w:rsid w:val="00125CFB"/>
    <w:rsid w:val="00130805"/>
    <w:rsid w:val="001348D8"/>
    <w:rsid w:val="0013527B"/>
    <w:rsid w:val="001356C7"/>
    <w:rsid w:val="00144B5D"/>
    <w:rsid w:val="00155093"/>
    <w:rsid w:val="00164E29"/>
    <w:rsid w:val="00166253"/>
    <w:rsid w:val="00166C4E"/>
    <w:rsid w:val="00171174"/>
    <w:rsid w:val="0017168E"/>
    <w:rsid w:val="00173979"/>
    <w:rsid w:val="001855EC"/>
    <w:rsid w:val="00193B18"/>
    <w:rsid w:val="001A2588"/>
    <w:rsid w:val="001A3D72"/>
    <w:rsid w:val="001A6A9A"/>
    <w:rsid w:val="001B5796"/>
    <w:rsid w:val="001C3AA6"/>
    <w:rsid w:val="001C5A27"/>
    <w:rsid w:val="001D6661"/>
    <w:rsid w:val="001D72BE"/>
    <w:rsid w:val="001E7178"/>
    <w:rsid w:val="0020321D"/>
    <w:rsid w:val="00213D6A"/>
    <w:rsid w:val="002251FA"/>
    <w:rsid w:val="00231FD6"/>
    <w:rsid w:val="002339E8"/>
    <w:rsid w:val="00234069"/>
    <w:rsid w:val="00244D06"/>
    <w:rsid w:val="00251E5D"/>
    <w:rsid w:val="002669F0"/>
    <w:rsid w:val="0026721F"/>
    <w:rsid w:val="002766FB"/>
    <w:rsid w:val="00282699"/>
    <w:rsid w:val="002A0689"/>
    <w:rsid w:val="002A2B78"/>
    <w:rsid w:val="002C3741"/>
    <w:rsid w:val="002C7AC7"/>
    <w:rsid w:val="002D3758"/>
    <w:rsid w:val="002D4BB6"/>
    <w:rsid w:val="002E02B3"/>
    <w:rsid w:val="003003A1"/>
    <w:rsid w:val="003024A3"/>
    <w:rsid w:val="00313B9C"/>
    <w:rsid w:val="003149A9"/>
    <w:rsid w:val="003160B4"/>
    <w:rsid w:val="00316826"/>
    <w:rsid w:val="00317ED2"/>
    <w:rsid w:val="00321372"/>
    <w:rsid w:val="003246C8"/>
    <w:rsid w:val="0032678E"/>
    <w:rsid w:val="00326F32"/>
    <w:rsid w:val="003350C0"/>
    <w:rsid w:val="00336EEA"/>
    <w:rsid w:val="00345C88"/>
    <w:rsid w:val="0036623E"/>
    <w:rsid w:val="00366369"/>
    <w:rsid w:val="00392DA1"/>
    <w:rsid w:val="00394A14"/>
    <w:rsid w:val="00396638"/>
    <w:rsid w:val="003A5FEA"/>
    <w:rsid w:val="003A6720"/>
    <w:rsid w:val="003B268E"/>
    <w:rsid w:val="003B4CA3"/>
    <w:rsid w:val="003C18B4"/>
    <w:rsid w:val="003C1B30"/>
    <w:rsid w:val="003C718C"/>
    <w:rsid w:val="003D4C52"/>
    <w:rsid w:val="003E2495"/>
    <w:rsid w:val="003F2126"/>
    <w:rsid w:val="003F5DE5"/>
    <w:rsid w:val="003F6D44"/>
    <w:rsid w:val="003F72DD"/>
    <w:rsid w:val="004000D7"/>
    <w:rsid w:val="00412791"/>
    <w:rsid w:val="00417700"/>
    <w:rsid w:val="00417F7D"/>
    <w:rsid w:val="00422631"/>
    <w:rsid w:val="00424745"/>
    <w:rsid w:val="00425B27"/>
    <w:rsid w:val="00427CBE"/>
    <w:rsid w:val="00427F26"/>
    <w:rsid w:val="00453C88"/>
    <w:rsid w:val="00455EA9"/>
    <w:rsid w:val="0047793C"/>
    <w:rsid w:val="0048525A"/>
    <w:rsid w:val="00487B25"/>
    <w:rsid w:val="00491094"/>
    <w:rsid w:val="00491B25"/>
    <w:rsid w:val="004927B2"/>
    <w:rsid w:val="00492FAA"/>
    <w:rsid w:val="00494AD7"/>
    <w:rsid w:val="004A7D01"/>
    <w:rsid w:val="004B06B5"/>
    <w:rsid w:val="004D0971"/>
    <w:rsid w:val="004D6A97"/>
    <w:rsid w:val="004E2EF1"/>
    <w:rsid w:val="004F2D8E"/>
    <w:rsid w:val="00504E43"/>
    <w:rsid w:val="00523DFB"/>
    <w:rsid w:val="005256AD"/>
    <w:rsid w:val="00543363"/>
    <w:rsid w:val="00553152"/>
    <w:rsid w:val="0056561B"/>
    <w:rsid w:val="005757D8"/>
    <w:rsid w:val="005828B9"/>
    <w:rsid w:val="005830AF"/>
    <w:rsid w:val="005908A3"/>
    <w:rsid w:val="0059422C"/>
    <w:rsid w:val="00594CAA"/>
    <w:rsid w:val="005A39B1"/>
    <w:rsid w:val="005A4D52"/>
    <w:rsid w:val="005B24BE"/>
    <w:rsid w:val="005B5B95"/>
    <w:rsid w:val="005D15F1"/>
    <w:rsid w:val="005E3E7F"/>
    <w:rsid w:val="005E4761"/>
    <w:rsid w:val="005F178F"/>
    <w:rsid w:val="006024E4"/>
    <w:rsid w:val="0061617F"/>
    <w:rsid w:val="0061723B"/>
    <w:rsid w:val="00620071"/>
    <w:rsid w:val="006219B9"/>
    <w:rsid w:val="006354A9"/>
    <w:rsid w:val="00641689"/>
    <w:rsid w:val="006465BC"/>
    <w:rsid w:val="00652326"/>
    <w:rsid w:val="0067371B"/>
    <w:rsid w:val="006843A5"/>
    <w:rsid w:val="00687BB1"/>
    <w:rsid w:val="006948F3"/>
    <w:rsid w:val="006961E3"/>
    <w:rsid w:val="006B22F5"/>
    <w:rsid w:val="006B672A"/>
    <w:rsid w:val="006C5C04"/>
    <w:rsid w:val="006C5FBF"/>
    <w:rsid w:val="006C7722"/>
    <w:rsid w:val="006D1B61"/>
    <w:rsid w:val="006D1D6B"/>
    <w:rsid w:val="006D4552"/>
    <w:rsid w:val="006D6B4C"/>
    <w:rsid w:val="006E3CE9"/>
    <w:rsid w:val="006F1CBB"/>
    <w:rsid w:val="006F2D73"/>
    <w:rsid w:val="00702172"/>
    <w:rsid w:val="00714B57"/>
    <w:rsid w:val="007152AA"/>
    <w:rsid w:val="00737BEA"/>
    <w:rsid w:val="00741FCC"/>
    <w:rsid w:val="007423C7"/>
    <w:rsid w:val="00747834"/>
    <w:rsid w:val="00750B9D"/>
    <w:rsid w:val="007632A7"/>
    <w:rsid w:val="00767C81"/>
    <w:rsid w:val="007710B1"/>
    <w:rsid w:val="007779BC"/>
    <w:rsid w:val="00787FE7"/>
    <w:rsid w:val="007908F4"/>
    <w:rsid w:val="007926D5"/>
    <w:rsid w:val="00795223"/>
    <w:rsid w:val="007B0A20"/>
    <w:rsid w:val="007B2A30"/>
    <w:rsid w:val="007C63FC"/>
    <w:rsid w:val="007D2191"/>
    <w:rsid w:val="007D4381"/>
    <w:rsid w:val="007D676A"/>
    <w:rsid w:val="007E1AE9"/>
    <w:rsid w:val="007F0415"/>
    <w:rsid w:val="007F2F71"/>
    <w:rsid w:val="008007D3"/>
    <w:rsid w:val="00803A92"/>
    <w:rsid w:val="00804F94"/>
    <w:rsid w:val="00807BFA"/>
    <w:rsid w:val="008125AE"/>
    <w:rsid w:val="00813634"/>
    <w:rsid w:val="00821EC5"/>
    <w:rsid w:val="00825137"/>
    <w:rsid w:val="00834253"/>
    <w:rsid w:val="00855253"/>
    <w:rsid w:val="008611D7"/>
    <w:rsid w:val="00870DDC"/>
    <w:rsid w:val="00873677"/>
    <w:rsid w:val="00873D99"/>
    <w:rsid w:val="00883C90"/>
    <w:rsid w:val="00883FA2"/>
    <w:rsid w:val="008A22C6"/>
    <w:rsid w:val="008A3E44"/>
    <w:rsid w:val="008A7634"/>
    <w:rsid w:val="008B14F8"/>
    <w:rsid w:val="008C5F89"/>
    <w:rsid w:val="008C66A0"/>
    <w:rsid w:val="008E4569"/>
    <w:rsid w:val="008F37B0"/>
    <w:rsid w:val="008F5E58"/>
    <w:rsid w:val="00910C72"/>
    <w:rsid w:val="00921639"/>
    <w:rsid w:val="00923740"/>
    <w:rsid w:val="00932240"/>
    <w:rsid w:val="009376FA"/>
    <w:rsid w:val="009403BD"/>
    <w:rsid w:val="00944094"/>
    <w:rsid w:val="00951528"/>
    <w:rsid w:val="009609AE"/>
    <w:rsid w:val="00960EC1"/>
    <w:rsid w:val="00970C9E"/>
    <w:rsid w:val="00980987"/>
    <w:rsid w:val="00987189"/>
    <w:rsid w:val="009A1C91"/>
    <w:rsid w:val="009A4D0E"/>
    <w:rsid w:val="009B6CC9"/>
    <w:rsid w:val="009B6ED6"/>
    <w:rsid w:val="009B700F"/>
    <w:rsid w:val="009C0671"/>
    <w:rsid w:val="009C31A9"/>
    <w:rsid w:val="009C3428"/>
    <w:rsid w:val="009D0AFE"/>
    <w:rsid w:val="009D7425"/>
    <w:rsid w:val="009E1A9B"/>
    <w:rsid w:val="009E379E"/>
    <w:rsid w:val="009F0A71"/>
    <w:rsid w:val="009F6961"/>
    <w:rsid w:val="00A018A1"/>
    <w:rsid w:val="00A047E3"/>
    <w:rsid w:val="00A116C5"/>
    <w:rsid w:val="00A134E0"/>
    <w:rsid w:val="00A20BEF"/>
    <w:rsid w:val="00A2388D"/>
    <w:rsid w:val="00A34B82"/>
    <w:rsid w:val="00A41E03"/>
    <w:rsid w:val="00A56757"/>
    <w:rsid w:val="00A64B2C"/>
    <w:rsid w:val="00A72F5A"/>
    <w:rsid w:val="00A8461D"/>
    <w:rsid w:val="00A847FB"/>
    <w:rsid w:val="00AA59F3"/>
    <w:rsid w:val="00AA6E38"/>
    <w:rsid w:val="00AC46AF"/>
    <w:rsid w:val="00AD28F4"/>
    <w:rsid w:val="00AE52CB"/>
    <w:rsid w:val="00AF1473"/>
    <w:rsid w:val="00AF5F30"/>
    <w:rsid w:val="00AF72E9"/>
    <w:rsid w:val="00B03882"/>
    <w:rsid w:val="00B04648"/>
    <w:rsid w:val="00B063CE"/>
    <w:rsid w:val="00B13C9E"/>
    <w:rsid w:val="00B14180"/>
    <w:rsid w:val="00B20AEF"/>
    <w:rsid w:val="00B22ABD"/>
    <w:rsid w:val="00B2480B"/>
    <w:rsid w:val="00B26785"/>
    <w:rsid w:val="00B27815"/>
    <w:rsid w:val="00B27F2E"/>
    <w:rsid w:val="00B306ED"/>
    <w:rsid w:val="00B357F9"/>
    <w:rsid w:val="00B401C5"/>
    <w:rsid w:val="00B51284"/>
    <w:rsid w:val="00B676AC"/>
    <w:rsid w:val="00B71B1A"/>
    <w:rsid w:val="00B72A00"/>
    <w:rsid w:val="00B72E9A"/>
    <w:rsid w:val="00B77696"/>
    <w:rsid w:val="00B80FC1"/>
    <w:rsid w:val="00B858FA"/>
    <w:rsid w:val="00BA0EC4"/>
    <w:rsid w:val="00BA3E56"/>
    <w:rsid w:val="00BB4D3A"/>
    <w:rsid w:val="00BB6E1E"/>
    <w:rsid w:val="00BE0818"/>
    <w:rsid w:val="00BE7113"/>
    <w:rsid w:val="00BF1F50"/>
    <w:rsid w:val="00BF5D5B"/>
    <w:rsid w:val="00C07F80"/>
    <w:rsid w:val="00C11978"/>
    <w:rsid w:val="00C26231"/>
    <w:rsid w:val="00C3581F"/>
    <w:rsid w:val="00C70863"/>
    <w:rsid w:val="00C734D3"/>
    <w:rsid w:val="00C754F9"/>
    <w:rsid w:val="00C84C0E"/>
    <w:rsid w:val="00C858AE"/>
    <w:rsid w:val="00C87CA7"/>
    <w:rsid w:val="00CC12FE"/>
    <w:rsid w:val="00CC7D43"/>
    <w:rsid w:val="00CD7BC7"/>
    <w:rsid w:val="00CE03FF"/>
    <w:rsid w:val="00CE6252"/>
    <w:rsid w:val="00CF4674"/>
    <w:rsid w:val="00D01B1A"/>
    <w:rsid w:val="00D03FBB"/>
    <w:rsid w:val="00D125CD"/>
    <w:rsid w:val="00D46106"/>
    <w:rsid w:val="00D507DD"/>
    <w:rsid w:val="00D518E4"/>
    <w:rsid w:val="00D51DF0"/>
    <w:rsid w:val="00D5363C"/>
    <w:rsid w:val="00D543EC"/>
    <w:rsid w:val="00D605AE"/>
    <w:rsid w:val="00D71714"/>
    <w:rsid w:val="00D84882"/>
    <w:rsid w:val="00D84895"/>
    <w:rsid w:val="00D91532"/>
    <w:rsid w:val="00D966DE"/>
    <w:rsid w:val="00DA2889"/>
    <w:rsid w:val="00DC29D2"/>
    <w:rsid w:val="00DD5A9D"/>
    <w:rsid w:val="00DE1AB3"/>
    <w:rsid w:val="00DE3287"/>
    <w:rsid w:val="00DE46A2"/>
    <w:rsid w:val="00DF4D5D"/>
    <w:rsid w:val="00E135E8"/>
    <w:rsid w:val="00E16411"/>
    <w:rsid w:val="00E167C4"/>
    <w:rsid w:val="00E2187A"/>
    <w:rsid w:val="00E22DE4"/>
    <w:rsid w:val="00E2340B"/>
    <w:rsid w:val="00E2469A"/>
    <w:rsid w:val="00E3486F"/>
    <w:rsid w:val="00E37FD8"/>
    <w:rsid w:val="00E47CB8"/>
    <w:rsid w:val="00E53D64"/>
    <w:rsid w:val="00E579EA"/>
    <w:rsid w:val="00E6417E"/>
    <w:rsid w:val="00E82835"/>
    <w:rsid w:val="00E87DFF"/>
    <w:rsid w:val="00E945D3"/>
    <w:rsid w:val="00EA2179"/>
    <w:rsid w:val="00EA3F06"/>
    <w:rsid w:val="00EA5862"/>
    <w:rsid w:val="00EC1737"/>
    <w:rsid w:val="00EC6628"/>
    <w:rsid w:val="00ED2096"/>
    <w:rsid w:val="00ED3408"/>
    <w:rsid w:val="00ED47D3"/>
    <w:rsid w:val="00ED779F"/>
    <w:rsid w:val="00EE2606"/>
    <w:rsid w:val="00EE6DBD"/>
    <w:rsid w:val="00EF3F00"/>
    <w:rsid w:val="00EF513F"/>
    <w:rsid w:val="00EF799F"/>
    <w:rsid w:val="00F018C7"/>
    <w:rsid w:val="00F0487E"/>
    <w:rsid w:val="00F051FE"/>
    <w:rsid w:val="00F05A61"/>
    <w:rsid w:val="00F15A15"/>
    <w:rsid w:val="00F271B3"/>
    <w:rsid w:val="00F271F0"/>
    <w:rsid w:val="00F30685"/>
    <w:rsid w:val="00F46415"/>
    <w:rsid w:val="00F54747"/>
    <w:rsid w:val="00F67DCF"/>
    <w:rsid w:val="00F73A3C"/>
    <w:rsid w:val="00F75AE4"/>
    <w:rsid w:val="00F83732"/>
    <w:rsid w:val="00F84660"/>
    <w:rsid w:val="00F957E8"/>
    <w:rsid w:val="00FA0BDF"/>
    <w:rsid w:val="00FA0EBC"/>
    <w:rsid w:val="00FA261C"/>
    <w:rsid w:val="00FB221F"/>
    <w:rsid w:val="00FB2946"/>
    <w:rsid w:val="00FB47A7"/>
    <w:rsid w:val="00FB4DF3"/>
    <w:rsid w:val="00FC4464"/>
    <w:rsid w:val="00FD3A85"/>
    <w:rsid w:val="00FE09D0"/>
    <w:rsid w:val="00FE2E96"/>
    <w:rsid w:val="00FF4715"/>
    <w:rsid w:val="00FF53FA"/>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AD76"/>
  <w15:docId w15:val="{38FD28A2-77EB-4624-8689-215660A2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8525A"/>
    <w:rPr>
      <w:rFonts w:eastAsia="Times New Roman" w:cs="Times New Roman"/>
      <w:sz w:val="20"/>
      <w:szCs w:val="20"/>
    </w:rPr>
  </w:style>
  <w:style w:type="character" w:customStyle="1" w:styleId="CommentTextChar">
    <w:name w:val="Comment Text Char"/>
    <w:basedOn w:val="DefaultParagraphFont"/>
    <w:link w:val="CommentText"/>
    <w:semiHidden/>
    <w:rsid w:val="0048525A"/>
    <w:rPr>
      <w:rFonts w:eastAsia="Times New Roman" w:cs="Times New Roman"/>
      <w:sz w:val="20"/>
      <w:szCs w:val="20"/>
    </w:rPr>
  </w:style>
  <w:style w:type="paragraph" w:styleId="NormalWeb">
    <w:name w:val="Normal (Web)"/>
    <w:basedOn w:val="Normal"/>
    <w:uiPriority w:val="99"/>
    <w:rsid w:val="00702172"/>
    <w:rPr>
      <w:rFonts w:ascii="Times New Roman" w:eastAsia="Times New Roman" w:hAnsi="Times New Roman" w:cs="Times New Roman"/>
      <w:lang w:eastAsia="en-GB"/>
    </w:rPr>
  </w:style>
  <w:style w:type="character" w:styleId="CommentReference">
    <w:name w:val="annotation reference"/>
    <w:uiPriority w:val="99"/>
    <w:semiHidden/>
    <w:rsid w:val="00B357F9"/>
    <w:rPr>
      <w:sz w:val="16"/>
      <w:szCs w:val="16"/>
    </w:rPr>
  </w:style>
  <w:style w:type="paragraph" w:styleId="BalloonText">
    <w:name w:val="Balloon Text"/>
    <w:basedOn w:val="Normal"/>
    <w:link w:val="BalloonTextChar"/>
    <w:uiPriority w:val="99"/>
    <w:semiHidden/>
    <w:unhideWhenUsed/>
    <w:rsid w:val="00B357F9"/>
    <w:rPr>
      <w:rFonts w:ascii="Tahoma" w:hAnsi="Tahoma" w:cs="Tahoma"/>
      <w:sz w:val="16"/>
      <w:szCs w:val="16"/>
    </w:rPr>
  </w:style>
  <w:style w:type="character" w:customStyle="1" w:styleId="BalloonTextChar">
    <w:name w:val="Balloon Text Char"/>
    <w:basedOn w:val="DefaultParagraphFont"/>
    <w:link w:val="BalloonText"/>
    <w:uiPriority w:val="99"/>
    <w:semiHidden/>
    <w:rsid w:val="00B357F9"/>
    <w:rPr>
      <w:rFonts w:ascii="Tahoma" w:hAnsi="Tahoma" w:cs="Tahoma"/>
      <w:sz w:val="16"/>
      <w:szCs w:val="16"/>
    </w:rPr>
  </w:style>
  <w:style w:type="paragraph" w:styleId="ListParagraph">
    <w:name w:val="List Paragraph"/>
    <w:aliases w:val="cS List Paragraph,F5 List Paragraph,List Paragraph1,List Paragraph11,Numbered Para 1,Dot pt,No Spacing1,List Paragraph Char Char Char,Indicator Text,Bullet Points,MAIN CONTENT,List Paragraph12,Bullets,Lettre d'introduction,Bullet 1"/>
    <w:basedOn w:val="Normal"/>
    <w:link w:val="ListParagraphChar"/>
    <w:uiPriority w:val="34"/>
    <w:qFormat/>
    <w:rsid w:val="005E4761"/>
    <w:pPr>
      <w:ind w:left="720"/>
      <w:contextualSpacing/>
    </w:pPr>
  </w:style>
  <w:style w:type="paragraph" w:styleId="PlainText">
    <w:name w:val="Plain Text"/>
    <w:basedOn w:val="Normal"/>
    <w:link w:val="PlainTextChar"/>
    <w:uiPriority w:val="99"/>
    <w:unhideWhenUsed/>
    <w:rsid w:val="00C87CA7"/>
    <w:rPr>
      <w:rFonts w:cstheme="minorBidi"/>
      <w:szCs w:val="21"/>
    </w:rPr>
  </w:style>
  <w:style w:type="character" w:customStyle="1" w:styleId="PlainTextChar">
    <w:name w:val="Plain Text Char"/>
    <w:basedOn w:val="DefaultParagraphFont"/>
    <w:link w:val="PlainText"/>
    <w:uiPriority w:val="99"/>
    <w:rsid w:val="00C87CA7"/>
    <w:rPr>
      <w:rFonts w:cstheme="minorBidi"/>
      <w:szCs w:val="21"/>
    </w:rPr>
  </w:style>
  <w:style w:type="paragraph" w:styleId="CommentSubject">
    <w:name w:val="annotation subject"/>
    <w:basedOn w:val="CommentText"/>
    <w:next w:val="CommentText"/>
    <w:link w:val="CommentSubjectChar"/>
    <w:uiPriority w:val="99"/>
    <w:semiHidden/>
    <w:unhideWhenUsed/>
    <w:rsid w:val="006C5FBF"/>
    <w:rPr>
      <w:rFonts w:eastAsiaTheme="minorHAnsi" w:cs="Arial"/>
      <w:b/>
      <w:bCs/>
    </w:rPr>
  </w:style>
  <w:style w:type="character" w:customStyle="1" w:styleId="CommentSubjectChar">
    <w:name w:val="Comment Subject Char"/>
    <w:basedOn w:val="CommentTextChar"/>
    <w:link w:val="CommentSubject"/>
    <w:uiPriority w:val="99"/>
    <w:semiHidden/>
    <w:rsid w:val="006C5FBF"/>
    <w:rPr>
      <w:rFonts w:eastAsia="Times New Roman" w:cs="Times New Roman"/>
      <w:b/>
      <w:bCs/>
      <w:sz w:val="20"/>
      <w:szCs w:val="20"/>
    </w:rPr>
  </w:style>
  <w:style w:type="character" w:styleId="Hyperlink">
    <w:name w:val="Hyperlink"/>
    <w:basedOn w:val="DefaultParagraphFont"/>
    <w:uiPriority w:val="99"/>
    <w:unhideWhenUsed/>
    <w:rsid w:val="00424745"/>
    <w:rPr>
      <w:color w:val="0000FF" w:themeColor="hyperlink"/>
      <w:u w:val="single"/>
    </w:rPr>
  </w:style>
  <w:style w:type="paragraph" w:customStyle="1" w:styleId="Default">
    <w:name w:val="Default"/>
    <w:rsid w:val="00D01B1A"/>
    <w:pPr>
      <w:autoSpaceDE w:val="0"/>
      <w:autoSpaceDN w:val="0"/>
      <w:adjustRightInd w:val="0"/>
    </w:pPr>
    <w:rPr>
      <w:color w:val="000000"/>
    </w:rPr>
  </w:style>
  <w:style w:type="paragraph" w:customStyle="1" w:styleId="CharChar1CharCharCharCharCharCharChar">
    <w:name w:val="Char Char1 Char Char Char Char Char Char Char"/>
    <w:basedOn w:val="Normal"/>
    <w:rsid w:val="00E3486F"/>
    <w:pPr>
      <w:spacing w:after="160" w:line="240" w:lineRule="exact"/>
    </w:pPr>
    <w:rPr>
      <w:rFonts w:ascii="Verdana" w:eastAsia="Times New Roman" w:hAnsi="Verdana" w:cs="Times New Roman"/>
      <w:lang w:val="en-US"/>
    </w:rPr>
  </w:style>
  <w:style w:type="paragraph" w:styleId="Caption">
    <w:name w:val="caption"/>
    <w:basedOn w:val="Normal"/>
    <w:next w:val="Normal"/>
    <w:qFormat/>
    <w:rsid w:val="0020321D"/>
    <w:pPr>
      <w:spacing w:before="120" w:after="120"/>
    </w:pPr>
    <w:rPr>
      <w:rFonts w:eastAsia="Times New Roman" w:cs="Times New Roman"/>
      <w:b/>
      <w:bCs/>
      <w:sz w:val="20"/>
      <w:szCs w:val="20"/>
    </w:rPr>
  </w:style>
  <w:style w:type="character" w:styleId="Strong">
    <w:name w:val="Strong"/>
    <w:uiPriority w:val="22"/>
    <w:qFormat/>
    <w:rsid w:val="00553152"/>
    <w:rPr>
      <w:b/>
      <w:bCs/>
    </w:rPr>
  </w:style>
  <w:style w:type="character" w:customStyle="1" w:styleId="ListParagraphChar">
    <w:name w:val="List Paragraph Char"/>
    <w:aliases w:val="cS List Paragraph Char,F5 List Paragraph Char,List Paragraph1 Char,List Paragraph11 Char,Numbered Para 1 Char,Dot pt Char,No Spacing1 Char,List Paragraph Char Char Char Char,Indicator Text Char,Bullet Points Char,MAIN CONTENT Char"/>
    <w:basedOn w:val="DefaultParagraphFont"/>
    <w:link w:val="ListParagraph"/>
    <w:uiPriority w:val="34"/>
    <w:locked/>
    <w:rsid w:val="0078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100">
      <w:bodyDiv w:val="1"/>
      <w:marLeft w:val="0"/>
      <w:marRight w:val="0"/>
      <w:marTop w:val="0"/>
      <w:marBottom w:val="0"/>
      <w:divBdr>
        <w:top w:val="none" w:sz="0" w:space="0" w:color="auto"/>
        <w:left w:val="none" w:sz="0" w:space="0" w:color="auto"/>
        <w:bottom w:val="none" w:sz="0" w:space="0" w:color="auto"/>
        <w:right w:val="none" w:sz="0" w:space="0" w:color="auto"/>
      </w:divBdr>
      <w:divsChild>
        <w:div w:id="1128473185">
          <w:marLeft w:val="0"/>
          <w:marRight w:val="0"/>
          <w:marTop w:val="0"/>
          <w:marBottom w:val="0"/>
          <w:divBdr>
            <w:top w:val="none" w:sz="0" w:space="0" w:color="auto"/>
            <w:left w:val="none" w:sz="0" w:space="0" w:color="auto"/>
            <w:bottom w:val="none" w:sz="0" w:space="0" w:color="auto"/>
            <w:right w:val="none" w:sz="0" w:space="0" w:color="auto"/>
          </w:divBdr>
          <w:divsChild>
            <w:div w:id="110170238">
              <w:marLeft w:val="0"/>
              <w:marRight w:val="0"/>
              <w:marTop w:val="0"/>
              <w:marBottom w:val="0"/>
              <w:divBdr>
                <w:top w:val="none" w:sz="0" w:space="0" w:color="auto"/>
                <w:left w:val="none" w:sz="0" w:space="0" w:color="auto"/>
                <w:bottom w:val="none" w:sz="0" w:space="0" w:color="auto"/>
                <w:right w:val="none" w:sz="0" w:space="0" w:color="auto"/>
              </w:divBdr>
              <w:divsChild>
                <w:div w:id="1503739141">
                  <w:marLeft w:val="0"/>
                  <w:marRight w:val="0"/>
                  <w:marTop w:val="0"/>
                  <w:marBottom w:val="0"/>
                  <w:divBdr>
                    <w:top w:val="none" w:sz="0" w:space="0" w:color="auto"/>
                    <w:left w:val="none" w:sz="0" w:space="0" w:color="auto"/>
                    <w:bottom w:val="none" w:sz="0" w:space="0" w:color="auto"/>
                    <w:right w:val="none" w:sz="0" w:space="0" w:color="auto"/>
                  </w:divBdr>
                  <w:divsChild>
                    <w:div w:id="585500354">
                      <w:marLeft w:val="0"/>
                      <w:marRight w:val="0"/>
                      <w:marTop w:val="0"/>
                      <w:marBottom w:val="0"/>
                      <w:divBdr>
                        <w:top w:val="none" w:sz="0" w:space="0" w:color="auto"/>
                        <w:left w:val="none" w:sz="0" w:space="0" w:color="auto"/>
                        <w:bottom w:val="none" w:sz="0" w:space="0" w:color="auto"/>
                        <w:right w:val="none" w:sz="0" w:space="0" w:color="auto"/>
                      </w:divBdr>
                      <w:divsChild>
                        <w:div w:id="1587419205">
                          <w:marLeft w:val="0"/>
                          <w:marRight w:val="0"/>
                          <w:marTop w:val="0"/>
                          <w:marBottom w:val="0"/>
                          <w:divBdr>
                            <w:top w:val="none" w:sz="0" w:space="0" w:color="auto"/>
                            <w:left w:val="none" w:sz="0" w:space="0" w:color="auto"/>
                            <w:bottom w:val="none" w:sz="0" w:space="0" w:color="auto"/>
                            <w:right w:val="none" w:sz="0" w:space="0" w:color="auto"/>
                          </w:divBdr>
                          <w:divsChild>
                            <w:div w:id="543175446">
                              <w:marLeft w:val="0"/>
                              <w:marRight w:val="0"/>
                              <w:marTop w:val="0"/>
                              <w:marBottom w:val="0"/>
                              <w:divBdr>
                                <w:top w:val="none" w:sz="0" w:space="0" w:color="auto"/>
                                <w:left w:val="none" w:sz="0" w:space="0" w:color="auto"/>
                                <w:bottom w:val="none" w:sz="0" w:space="0" w:color="auto"/>
                                <w:right w:val="none" w:sz="0" w:space="0" w:color="auto"/>
                              </w:divBdr>
                              <w:divsChild>
                                <w:div w:id="554782072">
                                  <w:marLeft w:val="0"/>
                                  <w:marRight w:val="0"/>
                                  <w:marTop w:val="0"/>
                                  <w:marBottom w:val="0"/>
                                  <w:divBdr>
                                    <w:top w:val="none" w:sz="0" w:space="0" w:color="auto"/>
                                    <w:left w:val="none" w:sz="0" w:space="0" w:color="auto"/>
                                    <w:bottom w:val="none" w:sz="0" w:space="0" w:color="auto"/>
                                    <w:right w:val="none" w:sz="0" w:space="0" w:color="auto"/>
                                  </w:divBdr>
                                  <w:divsChild>
                                    <w:div w:id="1269704831">
                                      <w:marLeft w:val="0"/>
                                      <w:marRight w:val="0"/>
                                      <w:marTop w:val="0"/>
                                      <w:marBottom w:val="0"/>
                                      <w:divBdr>
                                        <w:top w:val="none" w:sz="0" w:space="0" w:color="auto"/>
                                        <w:left w:val="none" w:sz="0" w:space="0" w:color="auto"/>
                                        <w:bottom w:val="none" w:sz="0" w:space="0" w:color="auto"/>
                                        <w:right w:val="none" w:sz="0" w:space="0" w:color="auto"/>
                                      </w:divBdr>
                                      <w:divsChild>
                                        <w:div w:id="904144624">
                                          <w:marLeft w:val="0"/>
                                          <w:marRight w:val="0"/>
                                          <w:marTop w:val="0"/>
                                          <w:marBottom w:val="0"/>
                                          <w:divBdr>
                                            <w:top w:val="none" w:sz="0" w:space="0" w:color="auto"/>
                                            <w:left w:val="none" w:sz="0" w:space="0" w:color="auto"/>
                                            <w:bottom w:val="none" w:sz="0" w:space="0" w:color="auto"/>
                                            <w:right w:val="none" w:sz="0" w:space="0" w:color="auto"/>
                                          </w:divBdr>
                                          <w:divsChild>
                                            <w:div w:id="260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36202">
      <w:bodyDiv w:val="1"/>
      <w:marLeft w:val="0"/>
      <w:marRight w:val="0"/>
      <w:marTop w:val="0"/>
      <w:marBottom w:val="0"/>
      <w:divBdr>
        <w:top w:val="none" w:sz="0" w:space="0" w:color="auto"/>
        <w:left w:val="none" w:sz="0" w:space="0" w:color="auto"/>
        <w:bottom w:val="none" w:sz="0" w:space="0" w:color="auto"/>
        <w:right w:val="none" w:sz="0" w:space="0" w:color="auto"/>
      </w:divBdr>
    </w:div>
    <w:div w:id="418914095">
      <w:bodyDiv w:val="1"/>
      <w:marLeft w:val="0"/>
      <w:marRight w:val="0"/>
      <w:marTop w:val="0"/>
      <w:marBottom w:val="0"/>
      <w:divBdr>
        <w:top w:val="none" w:sz="0" w:space="0" w:color="auto"/>
        <w:left w:val="none" w:sz="0" w:space="0" w:color="auto"/>
        <w:bottom w:val="none" w:sz="0" w:space="0" w:color="auto"/>
        <w:right w:val="none" w:sz="0" w:space="0" w:color="auto"/>
      </w:divBdr>
      <w:divsChild>
        <w:div w:id="1125197722">
          <w:marLeft w:val="360"/>
          <w:marRight w:val="0"/>
          <w:marTop w:val="400"/>
          <w:marBottom w:val="0"/>
          <w:divBdr>
            <w:top w:val="none" w:sz="0" w:space="0" w:color="auto"/>
            <w:left w:val="none" w:sz="0" w:space="0" w:color="auto"/>
            <w:bottom w:val="none" w:sz="0" w:space="0" w:color="auto"/>
            <w:right w:val="none" w:sz="0" w:space="0" w:color="auto"/>
          </w:divBdr>
        </w:div>
        <w:div w:id="2129741780">
          <w:marLeft w:val="360"/>
          <w:marRight w:val="0"/>
          <w:marTop w:val="400"/>
          <w:marBottom w:val="0"/>
          <w:divBdr>
            <w:top w:val="none" w:sz="0" w:space="0" w:color="auto"/>
            <w:left w:val="none" w:sz="0" w:space="0" w:color="auto"/>
            <w:bottom w:val="none" w:sz="0" w:space="0" w:color="auto"/>
            <w:right w:val="none" w:sz="0" w:space="0" w:color="auto"/>
          </w:divBdr>
        </w:div>
        <w:div w:id="795105746">
          <w:marLeft w:val="360"/>
          <w:marRight w:val="0"/>
          <w:marTop w:val="400"/>
          <w:marBottom w:val="0"/>
          <w:divBdr>
            <w:top w:val="none" w:sz="0" w:space="0" w:color="auto"/>
            <w:left w:val="none" w:sz="0" w:space="0" w:color="auto"/>
            <w:bottom w:val="none" w:sz="0" w:space="0" w:color="auto"/>
            <w:right w:val="none" w:sz="0" w:space="0" w:color="auto"/>
          </w:divBdr>
        </w:div>
        <w:div w:id="1009329592">
          <w:marLeft w:val="360"/>
          <w:marRight w:val="0"/>
          <w:marTop w:val="400"/>
          <w:marBottom w:val="0"/>
          <w:divBdr>
            <w:top w:val="none" w:sz="0" w:space="0" w:color="auto"/>
            <w:left w:val="none" w:sz="0" w:space="0" w:color="auto"/>
            <w:bottom w:val="none" w:sz="0" w:space="0" w:color="auto"/>
            <w:right w:val="none" w:sz="0" w:space="0" w:color="auto"/>
          </w:divBdr>
        </w:div>
      </w:divsChild>
    </w:div>
    <w:div w:id="423381981">
      <w:bodyDiv w:val="1"/>
      <w:marLeft w:val="0"/>
      <w:marRight w:val="0"/>
      <w:marTop w:val="0"/>
      <w:marBottom w:val="0"/>
      <w:divBdr>
        <w:top w:val="none" w:sz="0" w:space="0" w:color="auto"/>
        <w:left w:val="none" w:sz="0" w:space="0" w:color="auto"/>
        <w:bottom w:val="none" w:sz="0" w:space="0" w:color="auto"/>
        <w:right w:val="none" w:sz="0" w:space="0" w:color="auto"/>
      </w:divBdr>
    </w:div>
    <w:div w:id="820926171">
      <w:bodyDiv w:val="1"/>
      <w:marLeft w:val="0"/>
      <w:marRight w:val="0"/>
      <w:marTop w:val="0"/>
      <w:marBottom w:val="0"/>
      <w:divBdr>
        <w:top w:val="none" w:sz="0" w:space="0" w:color="auto"/>
        <w:left w:val="none" w:sz="0" w:space="0" w:color="auto"/>
        <w:bottom w:val="none" w:sz="0" w:space="0" w:color="auto"/>
        <w:right w:val="none" w:sz="0" w:space="0" w:color="auto"/>
      </w:divBdr>
    </w:div>
    <w:div w:id="841163139">
      <w:bodyDiv w:val="1"/>
      <w:marLeft w:val="0"/>
      <w:marRight w:val="0"/>
      <w:marTop w:val="0"/>
      <w:marBottom w:val="0"/>
      <w:divBdr>
        <w:top w:val="none" w:sz="0" w:space="0" w:color="auto"/>
        <w:left w:val="none" w:sz="0" w:space="0" w:color="auto"/>
        <w:bottom w:val="none" w:sz="0" w:space="0" w:color="auto"/>
        <w:right w:val="none" w:sz="0" w:space="0" w:color="auto"/>
      </w:divBdr>
    </w:div>
    <w:div w:id="993141215">
      <w:bodyDiv w:val="1"/>
      <w:marLeft w:val="0"/>
      <w:marRight w:val="0"/>
      <w:marTop w:val="0"/>
      <w:marBottom w:val="0"/>
      <w:divBdr>
        <w:top w:val="none" w:sz="0" w:space="0" w:color="auto"/>
        <w:left w:val="none" w:sz="0" w:space="0" w:color="auto"/>
        <w:bottom w:val="none" w:sz="0" w:space="0" w:color="auto"/>
        <w:right w:val="none" w:sz="0" w:space="0" w:color="auto"/>
      </w:divBdr>
    </w:div>
    <w:div w:id="1026709632">
      <w:bodyDiv w:val="1"/>
      <w:marLeft w:val="0"/>
      <w:marRight w:val="0"/>
      <w:marTop w:val="0"/>
      <w:marBottom w:val="0"/>
      <w:divBdr>
        <w:top w:val="none" w:sz="0" w:space="0" w:color="auto"/>
        <w:left w:val="none" w:sz="0" w:space="0" w:color="auto"/>
        <w:bottom w:val="none" w:sz="0" w:space="0" w:color="auto"/>
        <w:right w:val="none" w:sz="0" w:space="0" w:color="auto"/>
      </w:divBdr>
    </w:div>
    <w:div w:id="1140538092">
      <w:bodyDiv w:val="1"/>
      <w:marLeft w:val="0"/>
      <w:marRight w:val="0"/>
      <w:marTop w:val="0"/>
      <w:marBottom w:val="0"/>
      <w:divBdr>
        <w:top w:val="none" w:sz="0" w:space="0" w:color="auto"/>
        <w:left w:val="none" w:sz="0" w:space="0" w:color="auto"/>
        <w:bottom w:val="none" w:sz="0" w:space="0" w:color="auto"/>
        <w:right w:val="none" w:sz="0" w:space="0" w:color="auto"/>
      </w:divBdr>
    </w:div>
    <w:div w:id="1234196708">
      <w:bodyDiv w:val="1"/>
      <w:marLeft w:val="0"/>
      <w:marRight w:val="0"/>
      <w:marTop w:val="0"/>
      <w:marBottom w:val="0"/>
      <w:divBdr>
        <w:top w:val="none" w:sz="0" w:space="0" w:color="auto"/>
        <w:left w:val="none" w:sz="0" w:space="0" w:color="auto"/>
        <w:bottom w:val="none" w:sz="0" w:space="0" w:color="auto"/>
        <w:right w:val="none" w:sz="0" w:space="0" w:color="auto"/>
      </w:divBdr>
      <w:divsChild>
        <w:div w:id="1182083020">
          <w:marLeft w:val="0"/>
          <w:marRight w:val="0"/>
          <w:marTop w:val="0"/>
          <w:marBottom w:val="0"/>
          <w:divBdr>
            <w:top w:val="none" w:sz="0" w:space="0" w:color="auto"/>
            <w:left w:val="none" w:sz="0" w:space="0" w:color="auto"/>
            <w:bottom w:val="none" w:sz="0" w:space="0" w:color="auto"/>
            <w:right w:val="none" w:sz="0" w:space="0" w:color="auto"/>
          </w:divBdr>
          <w:divsChild>
            <w:div w:id="1645309024">
              <w:marLeft w:val="0"/>
              <w:marRight w:val="0"/>
              <w:marTop w:val="0"/>
              <w:marBottom w:val="0"/>
              <w:divBdr>
                <w:top w:val="none" w:sz="0" w:space="0" w:color="auto"/>
                <w:left w:val="none" w:sz="0" w:space="0" w:color="auto"/>
                <w:bottom w:val="none" w:sz="0" w:space="0" w:color="auto"/>
                <w:right w:val="none" w:sz="0" w:space="0" w:color="auto"/>
              </w:divBdr>
              <w:divsChild>
                <w:div w:id="1871795068">
                  <w:marLeft w:val="0"/>
                  <w:marRight w:val="0"/>
                  <w:marTop w:val="0"/>
                  <w:marBottom w:val="0"/>
                  <w:divBdr>
                    <w:top w:val="none" w:sz="0" w:space="0" w:color="auto"/>
                    <w:left w:val="none" w:sz="0" w:space="0" w:color="auto"/>
                    <w:bottom w:val="none" w:sz="0" w:space="0" w:color="auto"/>
                    <w:right w:val="none" w:sz="0" w:space="0" w:color="auto"/>
                  </w:divBdr>
                  <w:divsChild>
                    <w:div w:id="375204907">
                      <w:marLeft w:val="0"/>
                      <w:marRight w:val="0"/>
                      <w:marTop w:val="0"/>
                      <w:marBottom w:val="0"/>
                      <w:divBdr>
                        <w:top w:val="none" w:sz="0" w:space="0" w:color="auto"/>
                        <w:left w:val="none" w:sz="0" w:space="0" w:color="auto"/>
                        <w:bottom w:val="none" w:sz="0" w:space="0" w:color="auto"/>
                        <w:right w:val="none" w:sz="0" w:space="0" w:color="auto"/>
                      </w:divBdr>
                      <w:divsChild>
                        <w:div w:id="1705866272">
                          <w:marLeft w:val="0"/>
                          <w:marRight w:val="0"/>
                          <w:marTop w:val="0"/>
                          <w:marBottom w:val="0"/>
                          <w:divBdr>
                            <w:top w:val="none" w:sz="0" w:space="0" w:color="auto"/>
                            <w:left w:val="none" w:sz="0" w:space="0" w:color="auto"/>
                            <w:bottom w:val="none" w:sz="0" w:space="0" w:color="auto"/>
                            <w:right w:val="none" w:sz="0" w:space="0" w:color="auto"/>
                          </w:divBdr>
                          <w:divsChild>
                            <w:div w:id="493574316">
                              <w:marLeft w:val="0"/>
                              <w:marRight w:val="0"/>
                              <w:marTop w:val="0"/>
                              <w:marBottom w:val="0"/>
                              <w:divBdr>
                                <w:top w:val="none" w:sz="0" w:space="0" w:color="auto"/>
                                <w:left w:val="none" w:sz="0" w:space="0" w:color="auto"/>
                                <w:bottom w:val="none" w:sz="0" w:space="0" w:color="auto"/>
                                <w:right w:val="none" w:sz="0" w:space="0" w:color="auto"/>
                              </w:divBdr>
                              <w:divsChild>
                                <w:div w:id="1993753742">
                                  <w:marLeft w:val="0"/>
                                  <w:marRight w:val="0"/>
                                  <w:marTop w:val="0"/>
                                  <w:marBottom w:val="0"/>
                                  <w:divBdr>
                                    <w:top w:val="none" w:sz="0" w:space="0" w:color="auto"/>
                                    <w:left w:val="none" w:sz="0" w:space="0" w:color="auto"/>
                                    <w:bottom w:val="none" w:sz="0" w:space="0" w:color="auto"/>
                                    <w:right w:val="none" w:sz="0" w:space="0" w:color="auto"/>
                                  </w:divBdr>
                                  <w:divsChild>
                                    <w:div w:id="1284388324">
                                      <w:marLeft w:val="0"/>
                                      <w:marRight w:val="0"/>
                                      <w:marTop w:val="0"/>
                                      <w:marBottom w:val="0"/>
                                      <w:divBdr>
                                        <w:top w:val="none" w:sz="0" w:space="0" w:color="auto"/>
                                        <w:left w:val="none" w:sz="0" w:space="0" w:color="auto"/>
                                        <w:bottom w:val="none" w:sz="0" w:space="0" w:color="auto"/>
                                        <w:right w:val="none" w:sz="0" w:space="0" w:color="auto"/>
                                      </w:divBdr>
                                      <w:divsChild>
                                        <w:div w:id="810902564">
                                          <w:marLeft w:val="0"/>
                                          <w:marRight w:val="0"/>
                                          <w:marTop w:val="0"/>
                                          <w:marBottom w:val="0"/>
                                          <w:divBdr>
                                            <w:top w:val="none" w:sz="0" w:space="0" w:color="auto"/>
                                            <w:left w:val="none" w:sz="0" w:space="0" w:color="auto"/>
                                            <w:bottom w:val="none" w:sz="0" w:space="0" w:color="auto"/>
                                            <w:right w:val="none" w:sz="0" w:space="0" w:color="auto"/>
                                          </w:divBdr>
                                          <w:divsChild>
                                            <w:div w:id="1877696827">
                                              <w:marLeft w:val="0"/>
                                              <w:marRight w:val="0"/>
                                              <w:marTop w:val="0"/>
                                              <w:marBottom w:val="0"/>
                                              <w:divBdr>
                                                <w:top w:val="none" w:sz="0" w:space="0" w:color="auto"/>
                                                <w:left w:val="none" w:sz="0" w:space="0" w:color="auto"/>
                                                <w:bottom w:val="none" w:sz="0" w:space="0" w:color="auto"/>
                                                <w:right w:val="none" w:sz="0" w:space="0" w:color="auto"/>
                                              </w:divBdr>
                                              <w:divsChild>
                                                <w:div w:id="342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581658">
      <w:bodyDiv w:val="1"/>
      <w:marLeft w:val="0"/>
      <w:marRight w:val="0"/>
      <w:marTop w:val="0"/>
      <w:marBottom w:val="0"/>
      <w:divBdr>
        <w:top w:val="none" w:sz="0" w:space="0" w:color="auto"/>
        <w:left w:val="none" w:sz="0" w:space="0" w:color="auto"/>
        <w:bottom w:val="none" w:sz="0" w:space="0" w:color="auto"/>
        <w:right w:val="none" w:sz="0" w:space="0" w:color="auto"/>
      </w:divBdr>
    </w:div>
    <w:div w:id="1431775411">
      <w:bodyDiv w:val="1"/>
      <w:marLeft w:val="0"/>
      <w:marRight w:val="0"/>
      <w:marTop w:val="0"/>
      <w:marBottom w:val="0"/>
      <w:divBdr>
        <w:top w:val="none" w:sz="0" w:space="0" w:color="auto"/>
        <w:left w:val="none" w:sz="0" w:space="0" w:color="auto"/>
        <w:bottom w:val="none" w:sz="0" w:space="0" w:color="auto"/>
        <w:right w:val="none" w:sz="0" w:space="0" w:color="auto"/>
      </w:divBdr>
    </w:div>
    <w:div w:id="1811246805">
      <w:bodyDiv w:val="1"/>
      <w:marLeft w:val="0"/>
      <w:marRight w:val="0"/>
      <w:marTop w:val="0"/>
      <w:marBottom w:val="0"/>
      <w:divBdr>
        <w:top w:val="none" w:sz="0" w:space="0" w:color="auto"/>
        <w:left w:val="none" w:sz="0" w:space="0" w:color="auto"/>
        <w:bottom w:val="none" w:sz="0" w:space="0" w:color="auto"/>
        <w:right w:val="none" w:sz="0" w:space="0" w:color="auto"/>
      </w:divBdr>
      <w:divsChild>
        <w:div w:id="1631202636">
          <w:marLeft w:val="360"/>
          <w:marRight w:val="0"/>
          <w:marTop w:val="400"/>
          <w:marBottom w:val="0"/>
          <w:divBdr>
            <w:top w:val="none" w:sz="0" w:space="0" w:color="auto"/>
            <w:left w:val="none" w:sz="0" w:space="0" w:color="auto"/>
            <w:bottom w:val="none" w:sz="0" w:space="0" w:color="auto"/>
            <w:right w:val="none" w:sz="0" w:space="0" w:color="auto"/>
          </w:divBdr>
        </w:div>
        <w:div w:id="1320420837">
          <w:marLeft w:val="360"/>
          <w:marRight w:val="0"/>
          <w:marTop w:val="400"/>
          <w:marBottom w:val="0"/>
          <w:divBdr>
            <w:top w:val="none" w:sz="0" w:space="0" w:color="auto"/>
            <w:left w:val="none" w:sz="0" w:space="0" w:color="auto"/>
            <w:bottom w:val="none" w:sz="0" w:space="0" w:color="auto"/>
            <w:right w:val="none" w:sz="0" w:space="0" w:color="auto"/>
          </w:divBdr>
        </w:div>
        <w:div w:id="1134710979">
          <w:marLeft w:val="360"/>
          <w:marRight w:val="0"/>
          <w:marTop w:val="400"/>
          <w:marBottom w:val="0"/>
          <w:divBdr>
            <w:top w:val="none" w:sz="0" w:space="0" w:color="auto"/>
            <w:left w:val="none" w:sz="0" w:space="0" w:color="auto"/>
            <w:bottom w:val="none" w:sz="0" w:space="0" w:color="auto"/>
            <w:right w:val="none" w:sz="0" w:space="0" w:color="auto"/>
          </w:divBdr>
        </w:div>
        <w:div w:id="668406371">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b2edab-272d-44d2-a3ee-af4f5d7ff3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0D89DE0A63A4EB0DEBB1684DF8471" ma:contentTypeVersion="11" ma:contentTypeDescription="Create a new document." ma:contentTypeScope="" ma:versionID="212e29bf224b4c39d62b32705a8242ac">
  <xsd:schema xmlns:xsd="http://www.w3.org/2001/XMLSchema" xmlns:xs="http://www.w3.org/2001/XMLSchema" xmlns:p="http://schemas.microsoft.com/office/2006/metadata/properties" xmlns:ns3="21b2edab-272d-44d2-a3ee-af4f5d7ff358" xmlns:ns4="b755b92a-191d-4d69-a5e9-5a817e1c12a2" targetNamespace="http://schemas.microsoft.com/office/2006/metadata/properties" ma:root="true" ma:fieldsID="2ccec2af1563e109c3288f79c261e859" ns3:_="" ns4:_="">
    <xsd:import namespace="21b2edab-272d-44d2-a3ee-af4f5d7ff358"/>
    <xsd:import namespace="b755b92a-191d-4d69-a5e9-5a817e1c12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edab-272d-44d2-a3ee-af4f5d7ff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b92a-191d-4d69-a5e9-5a817e1c12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D4F2-DA76-4248-9C20-0234B4A37118}">
  <ds:schemaRefs>
    <ds:schemaRef ds:uri="http://schemas.microsoft.com/sharepoint/v3/contenttype/forms"/>
  </ds:schemaRefs>
</ds:datastoreItem>
</file>

<file path=customXml/itemProps2.xml><?xml version="1.0" encoding="utf-8"?>
<ds:datastoreItem xmlns:ds="http://schemas.openxmlformats.org/officeDocument/2006/customXml" ds:itemID="{B3397281-0A88-4EE7-AA17-319D3F477208}">
  <ds:schemaRefs>
    <ds:schemaRef ds:uri="http://schemas.microsoft.com/office/2006/metadata/properties"/>
    <ds:schemaRef ds:uri="http://schemas.microsoft.com/office/infopath/2007/PartnerControls"/>
    <ds:schemaRef ds:uri="21b2edab-272d-44d2-a3ee-af4f5d7ff358"/>
  </ds:schemaRefs>
</ds:datastoreItem>
</file>

<file path=customXml/itemProps3.xml><?xml version="1.0" encoding="utf-8"?>
<ds:datastoreItem xmlns:ds="http://schemas.openxmlformats.org/officeDocument/2006/customXml" ds:itemID="{61B7A063-BC83-4206-9554-683D99256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edab-272d-44d2-a3ee-af4f5d7ff358"/>
    <ds:schemaRef ds:uri="b755b92a-191d-4d69-a5e9-5a817e1c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DB95D-9296-4E4B-8B20-6184C7E3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Jarlath.Brine</dc:creator>
  <cp:lastModifiedBy>JONES Jason</cp:lastModifiedBy>
  <cp:revision>10</cp:revision>
  <cp:lastPrinted>2016-11-24T17:27:00Z</cp:lastPrinted>
  <dcterms:created xsi:type="dcterms:W3CDTF">2023-11-29T17:46:00Z</dcterms:created>
  <dcterms:modified xsi:type="dcterms:W3CDTF">2024-11-11T17:10:00Z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0x010100D580D89DE0A63A4EB0DEBB1684DF8471</vt:lpwstr>
  </property>
</Properties>
</file>